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3004"/>
        <w:gridCol w:w="3003"/>
        <w:gridCol w:w="3065"/>
      </w:tblGrid>
      <w:tr w:rsidR="00716B11" w:rsidRPr="00EE1A66" w:rsidTr="007F1760">
        <w:tc>
          <w:tcPr>
            <w:tcW w:w="3146" w:type="dxa"/>
          </w:tcPr>
          <w:p w:rsidR="00716B11" w:rsidRPr="007F1760" w:rsidRDefault="00716B11" w:rsidP="007F1760">
            <w:pPr>
              <w:jc w:val="both"/>
              <w:rPr>
                <w:sz w:val="22"/>
                <w:szCs w:val="22"/>
              </w:rPr>
            </w:pPr>
            <w:bookmarkStart w:id="0" w:name="_GoBack"/>
            <w:bookmarkEnd w:id="0"/>
          </w:p>
        </w:tc>
        <w:tc>
          <w:tcPr>
            <w:tcW w:w="3146" w:type="dxa"/>
          </w:tcPr>
          <w:p w:rsidR="00716B11" w:rsidRPr="007F1760" w:rsidRDefault="00716B11" w:rsidP="007F1760">
            <w:pPr>
              <w:jc w:val="both"/>
              <w:rPr>
                <w:sz w:val="22"/>
                <w:szCs w:val="22"/>
              </w:rPr>
            </w:pPr>
          </w:p>
        </w:tc>
        <w:tc>
          <w:tcPr>
            <w:tcW w:w="3147" w:type="dxa"/>
          </w:tcPr>
          <w:p w:rsidR="00716B11" w:rsidRPr="007F1760" w:rsidRDefault="00716B11" w:rsidP="007F1760">
            <w:pPr>
              <w:jc w:val="center"/>
              <w:rPr>
                <w:sz w:val="22"/>
                <w:szCs w:val="22"/>
              </w:rPr>
            </w:pPr>
            <w:r w:rsidRPr="007F1760">
              <w:rPr>
                <w:sz w:val="22"/>
                <w:szCs w:val="22"/>
              </w:rPr>
              <w:t>Lisa 2</w:t>
            </w:r>
          </w:p>
          <w:p w:rsidR="00716B11" w:rsidRPr="007F1760" w:rsidRDefault="00126D34" w:rsidP="007F1760">
            <w:pPr>
              <w:jc w:val="center"/>
              <w:rPr>
                <w:sz w:val="22"/>
                <w:szCs w:val="22"/>
              </w:rPr>
            </w:pPr>
            <w:r>
              <w:rPr>
                <w:sz w:val="22"/>
                <w:szCs w:val="22"/>
              </w:rPr>
              <w:t>Kohila Vallavolikogu</w:t>
            </w:r>
          </w:p>
          <w:p w:rsidR="00716B11" w:rsidRPr="007F1760" w:rsidRDefault="00716B11" w:rsidP="007F1760">
            <w:pPr>
              <w:jc w:val="center"/>
              <w:rPr>
                <w:sz w:val="22"/>
                <w:szCs w:val="22"/>
              </w:rPr>
            </w:pPr>
            <w:r w:rsidRPr="007F1760">
              <w:rPr>
                <w:sz w:val="22"/>
                <w:szCs w:val="22"/>
              </w:rPr>
              <w:t>__.____ 201</w:t>
            </w:r>
            <w:r w:rsidR="00126D34">
              <w:rPr>
                <w:sz w:val="22"/>
                <w:szCs w:val="22"/>
              </w:rPr>
              <w:t>5</w:t>
            </w:r>
            <w:r w:rsidRPr="007F1760">
              <w:rPr>
                <w:sz w:val="22"/>
                <w:szCs w:val="22"/>
              </w:rPr>
              <w:t>.a</w:t>
            </w:r>
          </w:p>
          <w:p w:rsidR="00716B11" w:rsidRPr="007F1760" w:rsidRDefault="00716B11" w:rsidP="00126D34">
            <w:pPr>
              <w:jc w:val="center"/>
              <w:rPr>
                <w:sz w:val="22"/>
                <w:szCs w:val="22"/>
              </w:rPr>
            </w:pPr>
            <w:r w:rsidRPr="007F1760">
              <w:rPr>
                <w:sz w:val="22"/>
                <w:szCs w:val="22"/>
              </w:rPr>
              <w:t>o</w:t>
            </w:r>
            <w:r w:rsidR="00126D34">
              <w:rPr>
                <w:sz w:val="22"/>
                <w:szCs w:val="22"/>
              </w:rPr>
              <w:t>tsusele</w:t>
            </w:r>
            <w:r w:rsidRPr="007F1760">
              <w:rPr>
                <w:sz w:val="22"/>
                <w:szCs w:val="22"/>
              </w:rPr>
              <w:t xml:space="preserve"> nr. ___</w:t>
            </w:r>
          </w:p>
        </w:tc>
      </w:tr>
    </w:tbl>
    <w:p w:rsidR="00716B11" w:rsidRPr="00EE1A66" w:rsidRDefault="00716B11" w:rsidP="00CE28F0">
      <w:pPr>
        <w:keepNext/>
        <w:outlineLvl w:val="5"/>
        <w:rPr>
          <w:sz w:val="24"/>
          <w:szCs w:val="24"/>
        </w:rPr>
      </w:pPr>
    </w:p>
    <w:p w:rsidR="00716B11" w:rsidRPr="00EE1A66" w:rsidRDefault="00716B11" w:rsidP="00CE28F0">
      <w:pPr>
        <w:keepNext/>
        <w:jc w:val="center"/>
        <w:outlineLvl w:val="5"/>
        <w:rPr>
          <w:sz w:val="24"/>
          <w:szCs w:val="24"/>
        </w:rPr>
      </w:pPr>
    </w:p>
    <w:p w:rsidR="00716B11" w:rsidRPr="00EE1A66" w:rsidRDefault="00521C69" w:rsidP="00CE28F0">
      <w:pPr>
        <w:keepNext/>
        <w:jc w:val="center"/>
        <w:outlineLvl w:val="5"/>
        <w:rPr>
          <w:sz w:val="24"/>
          <w:szCs w:val="24"/>
        </w:rPr>
      </w:pPr>
      <w:r>
        <w:rPr>
          <w:sz w:val="24"/>
          <w:szCs w:val="24"/>
        </w:rPr>
        <w:t>Rapla maakond,</w:t>
      </w:r>
      <w:r w:rsidR="00E77920">
        <w:rPr>
          <w:sz w:val="24"/>
          <w:szCs w:val="24"/>
        </w:rPr>
        <w:t xml:space="preserve"> Kohila alev</w:t>
      </w:r>
    </w:p>
    <w:p w:rsidR="00716B11" w:rsidRPr="00E77920" w:rsidRDefault="00716B11" w:rsidP="00CE28F0">
      <w:pPr>
        <w:jc w:val="center"/>
        <w:rPr>
          <w:rFonts w:ascii="Times-Bold" w:hAnsi="Times-Bold" w:cs="Times-Bold"/>
          <w:b/>
          <w:bCs/>
          <w:sz w:val="28"/>
          <w:szCs w:val="28"/>
          <w:lang w:eastAsia="et-EE"/>
        </w:rPr>
      </w:pPr>
    </w:p>
    <w:p w:rsidR="00716B11" w:rsidRPr="00E77920" w:rsidRDefault="00716B11" w:rsidP="00053751">
      <w:pPr>
        <w:jc w:val="center"/>
        <w:rPr>
          <w:rFonts w:ascii="Times-Bold" w:hAnsi="Times-Bold" w:cs="Times-Bold"/>
          <w:b/>
          <w:bCs/>
          <w:sz w:val="28"/>
          <w:szCs w:val="28"/>
          <w:lang w:eastAsia="et-EE"/>
        </w:rPr>
      </w:pPr>
      <w:r w:rsidRPr="00053751">
        <w:rPr>
          <w:rFonts w:ascii="Times-Bold" w:hAnsi="Times-Bold" w:cs="Times-Bold"/>
          <w:b/>
          <w:bCs/>
          <w:sz w:val="28"/>
          <w:szCs w:val="28"/>
          <w:lang w:eastAsia="et-EE"/>
        </w:rPr>
        <w:t xml:space="preserve"> </w:t>
      </w:r>
      <w:r w:rsidR="005852B1">
        <w:rPr>
          <w:rFonts w:ascii="Times-Bold" w:hAnsi="Times-Bold" w:cs="Times-Bold"/>
          <w:b/>
          <w:bCs/>
          <w:sz w:val="28"/>
          <w:szCs w:val="28"/>
          <w:lang w:eastAsia="et-EE"/>
        </w:rPr>
        <w:t>MATSOMARDI</w:t>
      </w:r>
      <w:r w:rsidRPr="00053751">
        <w:rPr>
          <w:rFonts w:ascii="Times-Bold" w:hAnsi="Times-Bold" w:cs="Times-Bold"/>
          <w:b/>
          <w:bCs/>
          <w:sz w:val="28"/>
          <w:szCs w:val="28"/>
          <w:lang w:eastAsia="et-EE"/>
        </w:rPr>
        <w:t xml:space="preserve"> KINNISTU DETAILPLANEERING</w:t>
      </w:r>
    </w:p>
    <w:p w:rsidR="00716B11" w:rsidRPr="00EE1A66" w:rsidRDefault="00716B11" w:rsidP="00CE28F0">
      <w:pPr>
        <w:keepNext/>
        <w:jc w:val="center"/>
        <w:outlineLvl w:val="0"/>
        <w:rPr>
          <w:sz w:val="24"/>
          <w:szCs w:val="24"/>
        </w:rPr>
      </w:pPr>
      <w:r>
        <w:rPr>
          <w:sz w:val="24"/>
          <w:szCs w:val="24"/>
        </w:rPr>
        <w:t>KESKKONNAMÕJU STRATEEGILISE HINDAMISE EELHINNANG</w:t>
      </w:r>
    </w:p>
    <w:p w:rsidR="00716B11" w:rsidRDefault="00716B11" w:rsidP="00CE28F0">
      <w:pPr>
        <w:rPr>
          <w:sz w:val="24"/>
          <w:szCs w:val="24"/>
        </w:rPr>
      </w:pPr>
    </w:p>
    <w:p w:rsidR="00502187" w:rsidRDefault="00502187" w:rsidP="008B2A56">
      <w:pPr>
        <w:autoSpaceDE w:val="0"/>
        <w:autoSpaceDN w:val="0"/>
        <w:adjustRightInd w:val="0"/>
        <w:jc w:val="both"/>
        <w:rPr>
          <w:b/>
          <w:sz w:val="24"/>
          <w:szCs w:val="24"/>
        </w:rPr>
      </w:pPr>
    </w:p>
    <w:p w:rsidR="00C71F68" w:rsidRPr="00C71F68" w:rsidRDefault="00C71F68" w:rsidP="008B2A56">
      <w:pPr>
        <w:autoSpaceDE w:val="0"/>
        <w:autoSpaceDN w:val="0"/>
        <w:adjustRightInd w:val="0"/>
        <w:jc w:val="both"/>
        <w:rPr>
          <w:b/>
          <w:sz w:val="24"/>
          <w:szCs w:val="24"/>
        </w:rPr>
      </w:pPr>
      <w:r>
        <w:rPr>
          <w:b/>
          <w:sz w:val="24"/>
          <w:szCs w:val="24"/>
        </w:rPr>
        <w:t>Detailplaneeringu eesmärk ja põhjendus</w:t>
      </w:r>
    </w:p>
    <w:p w:rsidR="00C71F68" w:rsidRDefault="00C71F68" w:rsidP="008B2A56">
      <w:pPr>
        <w:autoSpaceDE w:val="0"/>
        <w:autoSpaceDN w:val="0"/>
        <w:adjustRightInd w:val="0"/>
        <w:jc w:val="both"/>
        <w:rPr>
          <w:sz w:val="24"/>
          <w:szCs w:val="24"/>
        </w:rPr>
      </w:pPr>
    </w:p>
    <w:p w:rsidR="00E77920" w:rsidRDefault="005852B1" w:rsidP="008B2A56">
      <w:pPr>
        <w:autoSpaceDE w:val="0"/>
        <w:autoSpaceDN w:val="0"/>
        <w:adjustRightInd w:val="0"/>
        <w:jc w:val="both"/>
        <w:rPr>
          <w:sz w:val="24"/>
          <w:szCs w:val="24"/>
        </w:rPr>
      </w:pPr>
      <w:r>
        <w:rPr>
          <w:sz w:val="24"/>
          <w:szCs w:val="24"/>
        </w:rPr>
        <w:t xml:space="preserve">Matsomardi </w:t>
      </w:r>
      <w:r w:rsidR="00716B11">
        <w:rPr>
          <w:sz w:val="24"/>
          <w:szCs w:val="24"/>
        </w:rPr>
        <w:t>kinnistu</w:t>
      </w:r>
      <w:r>
        <w:rPr>
          <w:sz w:val="24"/>
          <w:szCs w:val="24"/>
        </w:rPr>
        <w:t xml:space="preserve"> (katastri</w:t>
      </w:r>
      <w:r w:rsidRPr="00EE1A66">
        <w:rPr>
          <w:sz w:val="24"/>
          <w:szCs w:val="24"/>
        </w:rPr>
        <w:t xml:space="preserve">tunnus </w:t>
      </w:r>
      <w:r w:rsidRPr="005852B1">
        <w:rPr>
          <w:sz w:val="24"/>
          <w:szCs w:val="24"/>
        </w:rPr>
        <w:t>31701:001:0399</w:t>
      </w:r>
      <w:r w:rsidRPr="00EE1A66">
        <w:rPr>
          <w:sz w:val="24"/>
          <w:szCs w:val="24"/>
        </w:rPr>
        <w:t>)</w:t>
      </w:r>
      <w:r>
        <w:rPr>
          <w:sz w:val="24"/>
          <w:szCs w:val="24"/>
        </w:rPr>
        <w:t xml:space="preserve"> </w:t>
      </w:r>
      <w:r w:rsidR="00716B11" w:rsidRPr="00EE1A66">
        <w:rPr>
          <w:sz w:val="24"/>
          <w:szCs w:val="24"/>
        </w:rPr>
        <w:t xml:space="preserve"> </w:t>
      </w:r>
      <w:r w:rsidR="00716B11">
        <w:rPr>
          <w:sz w:val="24"/>
          <w:szCs w:val="24"/>
        </w:rPr>
        <w:t>detail</w:t>
      </w:r>
      <w:r w:rsidR="00716B11" w:rsidRPr="00EE1A66">
        <w:rPr>
          <w:sz w:val="24"/>
          <w:szCs w:val="24"/>
        </w:rPr>
        <w:t>planeeringu</w:t>
      </w:r>
      <w:r w:rsidR="00716B11">
        <w:rPr>
          <w:sz w:val="24"/>
          <w:szCs w:val="24"/>
        </w:rPr>
        <w:t xml:space="preserve"> (DP)</w:t>
      </w:r>
      <w:r w:rsidR="00716B11" w:rsidRPr="00EE1A66">
        <w:rPr>
          <w:sz w:val="24"/>
          <w:szCs w:val="24"/>
        </w:rPr>
        <w:t xml:space="preserve"> eesmärk on</w:t>
      </w:r>
      <w:r w:rsidR="00126D34">
        <w:rPr>
          <w:sz w:val="24"/>
          <w:szCs w:val="24"/>
        </w:rPr>
        <w:t xml:space="preserve"> </w:t>
      </w:r>
      <w:r w:rsidRPr="005852B1">
        <w:rPr>
          <w:sz w:val="24"/>
          <w:szCs w:val="24"/>
        </w:rPr>
        <w:t>kahe elamumaa moodustamine hoonestatud maatulundusmaa jagamisel ja ehitusõiguse määramine üksikelamu ja kõrvalhoonete ehitamiseks hoonestamata elamumaale üldplaneeringuga ette nähtud ridaküla hoonestuse alal.</w:t>
      </w:r>
    </w:p>
    <w:p w:rsidR="00774E70" w:rsidRDefault="00774E70" w:rsidP="008B2A56">
      <w:pPr>
        <w:autoSpaceDE w:val="0"/>
        <w:autoSpaceDN w:val="0"/>
        <w:adjustRightInd w:val="0"/>
        <w:jc w:val="both"/>
        <w:rPr>
          <w:sz w:val="24"/>
          <w:szCs w:val="24"/>
        </w:rPr>
      </w:pPr>
    </w:p>
    <w:p w:rsidR="00716B11" w:rsidRPr="00E77920" w:rsidRDefault="00126D34" w:rsidP="008B2A56">
      <w:pPr>
        <w:autoSpaceDE w:val="0"/>
        <w:autoSpaceDN w:val="0"/>
        <w:adjustRightInd w:val="0"/>
        <w:jc w:val="both"/>
        <w:rPr>
          <w:sz w:val="24"/>
          <w:szCs w:val="24"/>
        </w:rPr>
      </w:pPr>
      <w:r w:rsidRPr="00E77920">
        <w:rPr>
          <w:sz w:val="24"/>
          <w:szCs w:val="24"/>
        </w:rPr>
        <w:t>Plan</w:t>
      </w:r>
      <w:r w:rsidR="00716B11" w:rsidRPr="00E77920">
        <w:rPr>
          <w:sz w:val="24"/>
          <w:szCs w:val="24"/>
        </w:rPr>
        <w:t xml:space="preserve">eeringu </w:t>
      </w:r>
      <w:r w:rsidRPr="00E77920">
        <w:rPr>
          <w:sz w:val="24"/>
          <w:szCs w:val="24"/>
        </w:rPr>
        <w:t xml:space="preserve">lahenduse </w:t>
      </w:r>
      <w:r w:rsidR="00716B11" w:rsidRPr="00E77920">
        <w:rPr>
          <w:sz w:val="24"/>
          <w:szCs w:val="24"/>
        </w:rPr>
        <w:t>põhjendus:</w:t>
      </w:r>
    </w:p>
    <w:p w:rsidR="00126D34" w:rsidRPr="00A75819" w:rsidRDefault="008C392C" w:rsidP="008B2A56">
      <w:pPr>
        <w:autoSpaceDE w:val="0"/>
        <w:autoSpaceDN w:val="0"/>
        <w:adjustRightInd w:val="0"/>
        <w:jc w:val="both"/>
        <w:rPr>
          <w:sz w:val="24"/>
          <w:szCs w:val="24"/>
        </w:rPr>
      </w:pPr>
      <w:r>
        <w:rPr>
          <w:sz w:val="24"/>
          <w:szCs w:val="24"/>
        </w:rPr>
        <w:t>Planeeringuga määratakse ehitusõigus ühe uue üksikelamu ja abihoonete ehitamiseks olemasolevate elamute vahele ridakülalaadse hoonestuse alale Aespa külatee lääneküljele. Ajaloolise ridaküla pikkus on ca 2,2 km ja algab Sutlema keskuse naabrusest ning lõpeb Tõdva-Hageri teel. Jagamisel moodustatavate kruntide suurused on ca 16500 m² ja 11000 m².  Planeeritava elamu ja abihoonete arhitektuurne ilme ja teostus sobitub lähipiirkonna hoonestusega. Kavandatu vastab valla üldplaneeringule, kus ridaküla hoonestusalal moodustatava krundi miinimumsuuruseks on 5000 m².</w:t>
      </w:r>
    </w:p>
    <w:p w:rsidR="00716B11" w:rsidRPr="00EE1A66" w:rsidRDefault="00716B11" w:rsidP="00CE28F0">
      <w:pPr>
        <w:jc w:val="both"/>
        <w:rPr>
          <w:sz w:val="24"/>
          <w:szCs w:val="24"/>
        </w:rPr>
      </w:pPr>
    </w:p>
    <w:p w:rsidR="00716B11" w:rsidRPr="00EE1A66" w:rsidRDefault="00716B11" w:rsidP="00CE28F0">
      <w:pPr>
        <w:jc w:val="both"/>
        <w:rPr>
          <w:sz w:val="24"/>
          <w:szCs w:val="24"/>
        </w:rPr>
      </w:pPr>
      <w:r w:rsidRPr="00EE1A66">
        <w:rPr>
          <w:sz w:val="24"/>
          <w:szCs w:val="24"/>
        </w:rPr>
        <w:t>Strateegilise planeerimisdokumendi koostamise algataja ja koo</w:t>
      </w:r>
      <w:r>
        <w:rPr>
          <w:sz w:val="24"/>
          <w:szCs w:val="24"/>
        </w:rPr>
        <w:t>stamise korraldaja on Kohila Vallavalitsus</w:t>
      </w:r>
      <w:r w:rsidRPr="00EE1A66">
        <w:rPr>
          <w:sz w:val="24"/>
          <w:szCs w:val="24"/>
        </w:rPr>
        <w:t xml:space="preserve">, </w:t>
      </w:r>
      <w:r>
        <w:rPr>
          <w:sz w:val="24"/>
          <w:szCs w:val="24"/>
        </w:rPr>
        <w:t>Vabaduse 1</w:t>
      </w:r>
      <w:r w:rsidRPr="00EE1A66">
        <w:rPr>
          <w:sz w:val="24"/>
          <w:szCs w:val="24"/>
        </w:rPr>
        <w:t xml:space="preserve">, </w:t>
      </w:r>
      <w:r w:rsidRPr="0029708B">
        <w:rPr>
          <w:sz w:val="24"/>
          <w:szCs w:val="24"/>
        </w:rPr>
        <w:t>79804</w:t>
      </w:r>
      <w:r>
        <w:rPr>
          <w:sz w:val="24"/>
          <w:szCs w:val="24"/>
        </w:rPr>
        <w:t xml:space="preserve"> Kohila </w:t>
      </w:r>
      <w:r w:rsidRPr="00EE1A66">
        <w:rPr>
          <w:sz w:val="24"/>
          <w:szCs w:val="24"/>
        </w:rPr>
        <w:t>alev, Kohila vald, Raplamaa, tel.</w:t>
      </w:r>
      <w:r w:rsidRPr="0029708B">
        <w:rPr>
          <w:sz w:val="24"/>
          <w:szCs w:val="24"/>
        </w:rPr>
        <w:t xml:space="preserve"> 4894760</w:t>
      </w:r>
      <w:r w:rsidRPr="00EE1A66">
        <w:rPr>
          <w:sz w:val="24"/>
          <w:szCs w:val="24"/>
        </w:rPr>
        <w:t xml:space="preserve">. </w:t>
      </w:r>
    </w:p>
    <w:p w:rsidR="00716B11" w:rsidRPr="00EE1A66" w:rsidRDefault="00716B11" w:rsidP="00CE28F0">
      <w:pPr>
        <w:jc w:val="both"/>
        <w:rPr>
          <w:sz w:val="24"/>
          <w:szCs w:val="24"/>
        </w:rPr>
      </w:pPr>
    </w:p>
    <w:p w:rsidR="00716B11" w:rsidRPr="00EE1A66" w:rsidRDefault="00716B11" w:rsidP="00CE28F0">
      <w:pPr>
        <w:jc w:val="both"/>
        <w:rPr>
          <w:sz w:val="24"/>
          <w:szCs w:val="24"/>
        </w:rPr>
      </w:pPr>
      <w:r w:rsidRPr="003B3B0C">
        <w:rPr>
          <w:sz w:val="24"/>
          <w:szCs w:val="24"/>
        </w:rPr>
        <w:t xml:space="preserve">Planeeringu koostaja on </w:t>
      </w:r>
      <w:r w:rsidR="00A614FE">
        <w:rPr>
          <w:sz w:val="24"/>
          <w:szCs w:val="24"/>
        </w:rPr>
        <w:t>___________________________,</w:t>
      </w:r>
      <w:r>
        <w:rPr>
          <w:sz w:val="24"/>
          <w:szCs w:val="24"/>
        </w:rPr>
        <w:t xml:space="preserve"> </w:t>
      </w:r>
    </w:p>
    <w:p w:rsidR="00716B11" w:rsidRPr="00EE1A66" w:rsidRDefault="00716B11" w:rsidP="00CE28F0">
      <w:pPr>
        <w:jc w:val="both"/>
        <w:rPr>
          <w:sz w:val="24"/>
          <w:szCs w:val="24"/>
        </w:rPr>
      </w:pPr>
      <w:r w:rsidRPr="00EE1A66">
        <w:rPr>
          <w:sz w:val="24"/>
          <w:szCs w:val="24"/>
        </w:rPr>
        <w:t xml:space="preserve">Planeeringu kehtestaja </w:t>
      </w:r>
      <w:r>
        <w:rPr>
          <w:sz w:val="24"/>
          <w:szCs w:val="24"/>
        </w:rPr>
        <w:t>Kohila Vallavalitsus</w:t>
      </w:r>
      <w:r w:rsidRPr="00EE1A66">
        <w:rPr>
          <w:sz w:val="24"/>
          <w:szCs w:val="24"/>
        </w:rPr>
        <w:t xml:space="preserve">, </w:t>
      </w:r>
      <w:r>
        <w:rPr>
          <w:sz w:val="24"/>
          <w:szCs w:val="24"/>
        </w:rPr>
        <w:t>Vabaduse 1</w:t>
      </w:r>
      <w:r w:rsidRPr="00EE1A66">
        <w:rPr>
          <w:sz w:val="24"/>
          <w:szCs w:val="24"/>
        </w:rPr>
        <w:t xml:space="preserve">, </w:t>
      </w:r>
      <w:r w:rsidRPr="0029708B">
        <w:rPr>
          <w:sz w:val="24"/>
          <w:szCs w:val="24"/>
        </w:rPr>
        <w:t>79804</w:t>
      </w:r>
      <w:r>
        <w:rPr>
          <w:sz w:val="24"/>
          <w:szCs w:val="24"/>
        </w:rPr>
        <w:t xml:space="preserve"> Kohila </w:t>
      </w:r>
      <w:r w:rsidRPr="00EE1A66">
        <w:rPr>
          <w:sz w:val="24"/>
          <w:szCs w:val="24"/>
        </w:rPr>
        <w:t>alev, Kohila vald, Raplamaa, tel.</w:t>
      </w:r>
      <w:r w:rsidRPr="0029708B">
        <w:rPr>
          <w:sz w:val="24"/>
          <w:szCs w:val="24"/>
        </w:rPr>
        <w:t xml:space="preserve"> 4894760</w:t>
      </w:r>
      <w:r w:rsidRPr="00EE1A66">
        <w:rPr>
          <w:sz w:val="24"/>
          <w:szCs w:val="24"/>
        </w:rPr>
        <w:t xml:space="preserve">, </w:t>
      </w:r>
      <w:smartTag w:uri="urn:schemas-microsoft-com:office:smarttags" w:element="PersonName">
        <w:r w:rsidRPr="00EE1A66">
          <w:rPr>
            <w:sz w:val="24"/>
            <w:szCs w:val="24"/>
          </w:rPr>
          <w:t>valla</w:t>
        </w:r>
        <w:smartTag w:uri="urn:schemas-microsoft-com:office:smarttags" w:element="PersonName">
          <w:r w:rsidRPr="00EE1A66">
            <w:rPr>
              <w:sz w:val="24"/>
              <w:szCs w:val="24"/>
            </w:rPr>
            <w:t>valitsus@kohila.ee</w:t>
          </w:r>
        </w:smartTag>
      </w:smartTag>
      <w:r w:rsidRPr="00EE1A66">
        <w:rPr>
          <w:sz w:val="24"/>
          <w:szCs w:val="24"/>
        </w:rPr>
        <w:t>.</w:t>
      </w:r>
    </w:p>
    <w:p w:rsidR="00716B11" w:rsidRPr="00EE1A66" w:rsidRDefault="00716B11" w:rsidP="00CE28F0">
      <w:pPr>
        <w:jc w:val="both"/>
        <w:rPr>
          <w:sz w:val="24"/>
          <w:szCs w:val="24"/>
        </w:rPr>
      </w:pPr>
    </w:p>
    <w:p w:rsidR="00716B11" w:rsidRDefault="00716B11" w:rsidP="00CE28F0">
      <w:pPr>
        <w:jc w:val="both"/>
        <w:rPr>
          <w:sz w:val="24"/>
          <w:szCs w:val="24"/>
        </w:rPr>
      </w:pPr>
      <w:r w:rsidRPr="00EE1A66">
        <w:rPr>
          <w:sz w:val="24"/>
          <w:szCs w:val="24"/>
        </w:rPr>
        <w:t xml:space="preserve">Käesoleva eelhinnangu objektiks on Rapla maakonnas Kohila </w:t>
      </w:r>
      <w:r w:rsidR="005852B1">
        <w:rPr>
          <w:sz w:val="24"/>
          <w:szCs w:val="24"/>
        </w:rPr>
        <w:t>vallas Vana-Aespa külas Matsomardi</w:t>
      </w:r>
      <w:r>
        <w:rPr>
          <w:sz w:val="24"/>
          <w:szCs w:val="24"/>
        </w:rPr>
        <w:t xml:space="preserve"> kinnistu</w:t>
      </w:r>
      <w:r w:rsidRPr="00EE1A66">
        <w:rPr>
          <w:sz w:val="24"/>
          <w:szCs w:val="24"/>
        </w:rPr>
        <w:t xml:space="preserve"> </w:t>
      </w:r>
      <w:r>
        <w:rPr>
          <w:sz w:val="24"/>
          <w:szCs w:val="24"/>
        </w:rPr>
        <w:t>kavandatav DP</w:t>
      </w:r>
      <w:r w:rsidRPr="00EE1A66">
        <w:rPr>
          <w:sz w:val="24"/>
          <w:szCs w:val="24"/>
        </w:rPr>
        <w:t>. DP-t ei ole veel algatatud, kuivõrd kaalumist vajab keskkonnamõju strateegilise hindamise (KSH) algatamise koh</w:t>
      </w:r>
      <w:r>
        <w:rPr>
          <w:sz w:val="24"/>
          <w:szCs w:val="24"/>
        </w:rPr>
        <w:t>asus.</w:t>
      </w:r>
    </w:p>
    <w:p w:rsidR="00502187" w:rsidRDefault="00502187" w:rsidP="00CE28F0">
      <w:pPr>
        <w:jc w:val="both"/>
        <w:rPr>
          <w:sz w:val="24"/>
          <w:szCs w:val="24"/>
        </w:rPr>
      </w:pPr>
    </w:p>
    <w:p w:rsidR="00502187" w:rsidRDefault="00502187" w:rsidP="00CE28F0">
      <w:pPr>
        <w:jc w:val="both"/>
        <w:rPr>
          <w:b/>
          <w:sz w:val="24"/>
          <w:szCs w:val="24"/>
        </w:rPr>
      </w:pPr>
    </w:p>
    <w:p w:rsidR="00502187" w:rsidRPr="00502187" w:rsidRDefault="00502187" w:rsidP="00CE28F0">
      <w:pPr>
        <w:jc w:val="both"/>
        <w:rPr>
          <w:b/>
          <w:sz w:val="24"/>
          <w:szCs w:val="24"/>
        </w:rPr>
      </w:pPr>
      <w:r w:rsidRPr="00502187">
        <w:rPr>
          <w:b/>
          <w:sz w:val="24"/>
          <w:szCs w:val="24"/>
        </w:rPr>
        <w:t>KSH algatamise või mittealgatamise kohustus</w:t>
      </w:r>
    </w:p>
    <w:p w:rsidR="00716B11" w:rsidRPr="00EE1A66" w:rsidRDefault="00716B11" w:rsidP="00CE28F0">
      <w:pPr>
        <w:jc w:val="both"/>
        <w:rPr>
          <w:sz w:val="24"/>
          <w:szCs w:val="24"/>
        </w:rPr>
      </w:pPr>
    </w:p>
    <w:p w:rsidR="00346157" w:rsidRDefault="007C0204" w:rsidP="00CE28F0">
      <w:pPr>
        <w:jc w:val="both"/>
        <w:rPr>
          <w:sz w:val="24"/>
          <w:szCs w:val="24"/>
        </w:rPr>
      </w:pPr>
      <w:r w:rsidRPr="008C3E9C">
        <w:rPr>
          <w:sz w:val="24"/>
          <w:szCs w:val="24"/>
        </w:rPr>
        <w:t>KSH algatamise või mittealgatamise kohu</w:t>
      </w:r>
      <w:r w:rsidR="00502187" w:rsidRPr="008C3E9C">
        <w:rPr>
          <w:sz w:val="24"/>
          <w:szCs w:val="24"/>
        </w:rPr>
        <w:t>s</w:t>
      </w:r>
      <w:r w:rsidRPr="008C3E9C">
        <w:rPr>
          <w:sz w:val="24"/>
          <w:szCs w:val="24"/>
        </w:rPr>
        <w:t xml:space="preserve">tus tuleneb KeHJS § 33. </w:t>
      </w:r>
      <w:r w:rsidR="00346157" w:rsidRPr="008C3E9C">
        <w:rPr>
          <w:sz w:val="24"/>
          <w:szCs w:val="24"/>
        </w:rPr>
        <w:t>KeHJS</w:t>
      </w:r>
      <w:r w:rsidR="00346157" w:rsidRPr="00EE1A66">
        <w:rPr>
          <w:sz w:val="24"/>
          <w:szCs w:val="24"/>
        </w:rPr>
        <w:t xml:space="preserve"> alusel on tegemist § 33 lg 1 p 3</w:t>
      </w:r>
      <w:r w:rsidR="00346157">
        <w:rPr>
          <w:sz w:val="24"/>
          <w:szCs w:val="24"/>
        </w:rPr>
        <w:t xml:space="preserve"> ja lg 2 p 2 ning lg 6, </w:t>
      </w:r>
      <w:r w:rsidR="00346157" w:rsidRPr="00FF3A5A">
        <w:rPr>
          <w:sz w:val="24"/>
          <w:szCs w:val="24"/>
        </w:rPr>
        <w:t xml:space="preserve">§ 34 lg 1, § 35 lg 1, lg 3, lg 5 ja lg 6 </w:t>
      </w:r>
      <w:r w:rsidR="00346157" w:rsidRPr="00EE1A66">
        <w:rPr>
          <w:sz w:val="24"/>
          <w:szCs w:val="24"/>
        </w:rPr>
        <w:t xml:space="preserve">alla kuuluva tegevusega, mille kohaselt tuleb analüüsida KeHJS § 6 lg 1 või 2-4 määratu kohaldumist kavandatavale. </w:t>
      </w:r>
      <w:r w:rsidRPr="00FF3A5A">
        <w:rPr>
          <w:sz w:val="24"/>
          <w:szCs w:val="24"/>
        </w:rPr>
        <w:t>Antud planeeringu algatamisel tuleb KSH algatamise vajalikkust hinnata KeHJS § 33 lg 2 p 2 tulenevalt, kuna strateegilise planeerimisdokumendiga kavandatakse tegevust, mille jaoks on vaja tegevusluba (ehitusluba).</w:t>
      </w:r>
      <w:r>
        <w:rPr>
          <w:sz w:val="24"/>
          <w:szCs w:val="24"/>
        </w:rPr>
        <w:t xml:space="preserve"> </w:t>
      </w:r>
      <w:r w:rsidR="00221771" w:rsidRPr="00EE1A66">
        <w:rPr>
          <w:sz w:val="24"/>
          <w:szCs w:val="24"/>
        </w:rPr>
        <w:t>Eelhindamise peamiseks ülesandeks on selgitada, kas on vajadus KSH algatamiseks või mitte.</w:t>
      </w:r>
    </w:p>
    <w:p w:rsidR="00716B11" w:rsidRPr="00EE1A66" w:rsidRDefault="00716B11" w:rsidP="00CE28F0">
      <w:pPr>
        <w:jc w:val="both"/>
        <w:rPr>
          <w:sz w:val="24"/>
          <w:szCs w:val="24"/>
        </w:rPr>
      </w:pPr>
    </w:p>
    <w:p w:rsidR="00502187" w:rsidRDefault="00502187" w:rsidP="00456F4D">
      <w:pPr>
        <w:jc w:val="both"/>
        <w:rPr>
          <w:rFonts w:ascii="Times-Bold" w:hAnsi="Times-Bold" w:cs="Times-Bold"/>
          <w:b/>
          <w:bCs/>
          <w:sz w:val="24"/>
          <w:szCs w:val="24"/>
          <w:lang w:eastAsia="et-EE"/>
        </w:rPr>
      </w:pPr>
      <w:r>
        <w:rPr>
          <w:rFonts w:ascii="Times-Bold" w:hAnsi="Times-Bold" w:cs="Times-Bold"/>
          <w:b/>
          <w:bCs/>
          <w:sz w:val="24"/>
          <w:szCs w:val="24"/>
          <w:lang w:eastAsia="et-EE"/>
        </w:rPr>
        <w:lastRenderedPageBreak/>
        <w:t>Planeeritava ala üldinformatsioon</w:t>
      </w:r>
    </w:p>
    <w:p w:rsidR="00502187" w:rsidRDefault="00502187" w:rsidP="00456F4D">
      <w:pPr>
        <w:jc w:val="both"/>
        <w:rPr>
          <w:sz w:val="24"/>
          <w:szCs w:val="24"/>
        </w:rPr>
      </w:pPr>
    </w:p>
    <w:p w:rsidR="00456F4D" w:rsidRPr="00EE1A66" w:rsidRDefault="00716B11" w:rsidP="00456F4D">
      <w:pPr>
        <w:jc w:val="both"/>
        <w:rPr>
          <w:sz w:val="24"/>
          <w:szCs w:val="24"/>
        </w:rPr>
      </w:pPr>
      <w:r w:rsidRPr="00EE1A66">
        <w:rPr>
          <w:sz w:val="24"/>
          <w:szCs w:val="24"/>
        </w:rPr>
        <w:t>Planeeringuala (</w:t>
      </w:r>
      <w:r w:rsidR="005852B1">
        <w:rPr>
          <w:sz w:val="24"/>
          <w:szCs w:val="24"/>
        </w:rPr>
        <w:t>Matsomardi</w:t>
      </w:r>
      <w:r w:rsidRPr="00EE1A66">
        <w:rPr>
          <w:sz w:val="24"/>
          <w:szCs w:val="24"/>
        </w:rPr>
        <w:t xml:space="preserve">) asub </w:t>
      </w:r>
      <w:r w:rsidR="005852B1">
        <w:rPr>
          <w:sz w:val="24"/>
          <w:szCs w:val="24"/>
        </w:rPr>
        <w:t>Vana-Aespa küla keskosas, Aespa külatee lääneküljel. Kaugus Sutlema keskusest 1,5 km.</w:t>
      </w:r>
      <w:r>
        <w:rPr>
          <w:sz w:val="24"/>
          <w:szCs w:val="24"/>
        </w:rPr>
        <w:t xml:space="preserve"> (Joonis 1). </w:t>
      </w:r>
      <w:r w:rsidR="005852B1">
        <w:rPr>
          <w:sz w:val="24"/>
          <w:szCs w:val="24"/>
        </w:rPr>
        <w:t>Põhjast külgneb planeeritav Hinso maatulundusmaaga, läänest Luha maatulundusmaaga, lõunast Korjuse ja Päikesemaja elamumaadega ja idast Aespa külatega (reformimata maa).</w:t>
      </w:r>
      <w:r w:rsidR="002A7442">
        <w:rPr>
          <w:sz w:val="24"/>
          <w:szCs w:val="24"/>
        </w:rPr>
        <w:t xml:space="preserve"> </w:t>
      </w:r>
      <w:r w:rsidR="008C3E9C">
        <w:rPr>
          <w:sz w:val="24"/>
          <w:szCs w:val="24"/>
        </w:rPr>
        <w:t>Ehitisregistri andmetel asuvad p</w:t>
      </w:r>
      <w:r w:rsidR="005852B1" w:rsidRPr="008F6BC4">
        <w:rPr>
          <w:sz w:val="24"/>
          <w:szCs w:val="24"/>
        </w:rPr>
        <w:t>laneeringuala</w:t>
      </w:r>
      <w:r w:rsidR="008C3E9C">
        <w:rPr>
          <w:sz w:val="24"/>
          <w:szCs w:val="24"/>
        </w:rPr>
        <w:t>l elamu, kuur ja saun</w:t>
      </w:r>
      <w:r w:rsidR="005852B1">
        <w:rPr>
          <w:sz w:val="24"/>
          <w:szCs w:val="24"/>
        </w:rPr>
        <w:t>.</w:t>
      </w:r>
      <w:r w:rsidR="00B46A7E">
        <w:rPr>
          <w:sz w:val="24"/>
          <w:szCs w:val="24"/>
        </w:rPr>
        <w:t xml:space="preserve"> </w:t>
      </w:r>
      <w:r w:rsidR="00456F4D" w:rsidRPr="00583BA5">
        <w:rPr>
          <w:rFonts w:ascii="Times-Roman" w:hAnsi="Times-Roman" w:cs="Times-Roman"/>
          <w:sz w:val="24"/>
          <w:szCs w:val="24"/>
          <w:lang w:eastAsia="et-EE"/>
        </w:rPr>
        <w:t xml:space="preserve">Planeeritava ala pindala on </w:t>
      </w:r>
      <w:r w:rsidR="005852B1">
        <w:rPr>
          <w:rFonts w:ascii="Times-Roman" w:hAnsi="Times-Roman" w:cs="Times-Roman"/>
          <w:sz w:val="24"/>
          <w:szCs w:val="24"/>
          <w:lang w:eastAsia="et-EE"/>
        </w:rPr>
        <w:t>2,75 ha</w:t>
      </w:r>
      <w:r w:rsidR="00456F4D" w:rsidRPr="00583BA5">
        <w:rPr>
          <w:rFonts w:ascii="Times-Roman" w:hAnsi="Times-Roman" w:cs="Times-Roman"/>
          <w:sz w:val="24"/>
          <w:szCs w:val="24"/>
          <w:lang w:eastAsia="et-EE"/>
        </w:rPr>
        <w:t>.</w:t>
      </w:r>
      <w:r w:rsidR="00456F4D">
        <w:rPr>
          <w:rFonts w:ascii="Times-Roman" w:hAnsi="Times-Roman" w:cs="Times-Roman"/>
          <w:sz w:val="24"/>
          <w:szCs w:val="24"/>
          <w:lang w:eastAsia="et-EE"/>
        </w:rPr>
        <w:t xml:space="preserve"> </w:t>
      </w:r>
      <w:r w:rsidR="005852B1">
        <w:rPr>
          <w:sz w:val="24"/>
          <w:szCs w:val="24"/>
        </w:rPr>
        <w:t>Planeeritava maa-ala sihtotstarve</w:t>
      </w:r>
      <w:r w:rsidR="008C3E9C">
        <w:rPr>
          <w:sz w:val="24"/>
          <w:szCs w:val="24"/>
        </w:rPr>
        <w:t xml:space="preserve"> on</w:t>
      </w:r>
      <w:r w:rsidR="005852B1">
        <w:rPr>
          <w:sz w:val="24"/>
          <w:szCs w:val="24"/>
        </w:rPr>
        <w:t xml:space="preserve"> </w:t>
      </w:r>
      <w:r w:rsidR="0098254D">
        <w:rPr>
          <w:sz w:val="24"/>
          <w:szCs w:val="24"/>
        </w:rPr>
        <w:t>maatulundusmaa</w:t>
      </w:r>
      <w:r w:rsidR="005852B1">
        <w:rPr>
          <w:sz w:val="24"/>
          <w:szCs w:val="24"/>
        </w:rPr>
        <w:t>.</w:t>
      </w:r>
      <w:r>
        <w:rPr>
          <w:sz w:val="24"/>
          <w:szCs w:val="24"/>
        </w:rPr>
        <w:t xml:space="preserve"> </w:t>
      </w:r>
      <w:r w:rsidR="007418C4" w:rsidRPr="008F6BC4">
        <w:rPr>
          <w:sz w:val="24"/>
          <w:szCs w:val="24"/>
        </w:rPr>
        <w:t>Juurdepääs planeeritava</w:t>
      </w:r>
      <w:r w:rsidR="007418C4">
        <w:rPr>
          <w:sz w:val="24"/>
          <w:szCs w:val="24"/>
        </w:rPr>
        <w:t>le</w:t>
      </w:r>
      <w:r w:rsidR="007418C4" w:rsidRPr="008F6BC4">
        <w:rPr>
          <w:sz w:val="24"/>
          <w:szCs w:val="24"/>
        </w:rPr>
        <w:t xml:space="preserve"> alale </w:t>
      </w:r>
      <w:r w:rsidR="007418C4">
        <w:rPr>
          <w:sz w:val="24"/>
          <w:szCs w:val="24"/>
        </w:rPr>
        <w:t xml:space="preserve">toimub </w:t>
      </w:r>
      <w:r w:rsidR="005852B1">
        <w:rPr>
          <w:sz w:val="24"/>
          <w:szCs w:val="24"/>
        </w:rPr>
        <w:t>Aespa külateelt</w:t>
      </w:r>
      <w:r w:rsidR="00456F4D" w:rsidRPr="00EE1A66">
        <w:rPr>
          <w:sz w:val="24"/>
          <w:szCs w:val="24"/>
        </w:rPr>
        <w:t>.</w:t>
      </w:r>
    </w:p>
    <w:p w:rsidR="00716B11" w:rsidRPr="00EE1A66" w:rsidRDefault="00716B11" w:rsidP="00456F4D">
      <w:pPr>
        <w:autoSpaceDE w:val="0"/>
        <w:autoSpaceDN w:val="0"/>
        <w:adjustRightInd w:val="0"/>
        <w:jc w:val="both"/>
        <w:rPr>
          <w:sz w:val="24"/>
          <w:szCs w:val="24"/>
        </w:rPr>
      </w:pPr>
    </w:p>
    <w:p w:rsidR="002C6E86" w:rsidRPr="001E2204" w:rsidRDefault="00716B11" w:rsidP="00CE28F0">
      <w:pPr>
        <w:jc w:val="both"/>
      </w:pPr>
      <w:r w:rsidRPr="00EE1A66">
        <w:rPr>
          <w:sz w:val="24"/>
          <w:szCs w:val="24"/>
        </w:rPr>
        <w:t xml:space="preserve"> </w:t>
      </w:r>
    </w:p>
    <w:p w:rsidR="00716B11" w:rsidRDefault="00674A63" w:rsidP="00CE28F0">
      <w:pPr>
        <w:jc w:val="both"/>
        <w:rPr>
          <w:sz w:val="24"/>
          <w:szCs w:val="24"/>
        </w:rPr>
      </w:pPr>
      <w:r>
        <w:rPr>
          <w:noProof/>
          <w:sz w:val="24"/>
          <w:szCs w:val="24"/>
          <w:lang w:eastAsia="et-EE"/>
        </w:rPr>
        <w:drawing>
          <wp:inline distT="0" distB="0" distL="0" distR="0">
            <wp:extent cx="5753100" cy="3990975"/>
            <wp:effectExtent l="0" t="0" r="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3990975"/>
                    </a:xfrm>
                    <a:prstGeom prst="rect">
                      <a:avLst/>
                    </a:prstGeom>
                    <a:noFill/>
                    <a:ln>
                      <a:noFill/>
                    </a:ln>
                  </pic:spPr>
                </pic:pic>
              </a:graphicData>
            </a:graphic>
          </wp:inline>
        </w:drawing>
      </w:r>
    </w:p>
    <w:p w:rsidR="00C655FF" w:rsidRDefault="00C655FF" w:rsidP="00CE28F0">
      <w:pPr>
        <w:jc w:val="both"/>
        <w:rPr>
          <w:sz w:val="24"/>
          <w:szCs w:val="24"/>
        </w:rPr>
      </w:pPr>
    </w:p>
    <w:p w:rsidR="00C655FF" w:rsidRDefault="00C655FF" w:rsidP="00C655FF">
      <w:pPr>
        <w:jc w:val="both"/>
      </w:pPr>
      <w:r w:rsidRPr="001E2204">
        <w:t xml:space="preserve">Joonis 1. </w:t>
      </w:r>
      <w:r>
        <w:t>Planeeringuala</w:t>
      </w:r>
      <w:r w:rsidR="009C6272">
        <w:t xml:space="preserve"> kitsendused</w:t>
      </w:r>
      <w:r w:rsidRPr="001E2204">
        <w:t xml:space="preserve"> ja selle lähipiirkond (aluskaart</w:t>
      </w:r>
      <w:r w:rsidR="00BE4DFB">
        <w:t>: Maa-ameti kaardirakendus, 2015</w:t>
      </w:r>
      <w:r w:rsidRPr="001E2204">
        <w:t>)</w:t>
      </w:r>
    </w:p>
    <w:p w:rsidR="002C6E86" w:rsidRPr="00EE1A66" w:rsidRDefault="002C6E86" w:rsidP="00CE28F0">
      <w:pPr>
        <w:jc w:val="both"/>
        <w:rPr>
          <w:sz w:val="24"/>
          <w:szCs w:val="24"/>
        </w:rPr>
      </w:pPr>
    </w:p>
    <w:p w:rsidR="00502187" w:rsidRDefault="00502187" w:rsidP="00186758">
      <w:pPr>
        <w:jc w:val="both"/>
        <w:rPr>
          <w:rFonts w:ascii="Times-Bold" w:hAnsi="Times-Bold" w:cs="Times-Bold"/>
          <w:b/>
          <w:bCs/>
          <w:sz w:val="24"/>
          <w:szCs w:val="24"/>
          <w:lang w:eastAsia="et-EE"/>
        </w:rPr>
      </w:pPr>
    </w:p>
    <w:p w:rsidR="00502187" w:rsidRDefault="00502187" w:rsidP="00186758">
      <w:pPr>
        <w:jc w:val="both"/>
        <w:rPr>
          <w:sz w:val="24"/>
          <w:szCs w:val="24"/>
        </w:rPr>
      </w:pPr>
      <w:r>
        <w:rPr>
          <w:rFonts w:ascii="Times-Bold" w:hAnsi="Times-Bold" w:cs="Times-Bold"/>
          <w:b/>
          <w:bCs/>
          <w:sz w:val="24"/>
          <w:szCs w:val="24"/>
          <w:lang w:eastAsia="et-EE"/>
        </w:rPr>
        <w:t>Planeeritava ala tegevusega kaasnevad tagajärjed ja mõjud</w:t>
      </w:r>
    </w:p>
    <w:p w:rsidR="00502187" w:rsidRDefault="00502187" w:rsidP="00186758">
      <w:pPr>
        <w:jc w:val="both"/>
        <w:rPr>
          <w:sz w:val="24"/>
          <w:szCs w:val="24"/>
        </w:rPr>
      </w:pPr>
    </w:p>
    <w:p w:rsidR="00D145DC" w:rsidRDefault="00D145DC" w:rsidP="00D145DC">
      <w:pPr>
        <w:autoSpaceDE w:val="0"/>
        <w:autoSpaceDN w:val="0"/>
        <w:adjustRightInd w:val="0"/>
        <w:jc w:val="both"/>
        <w:rPr>
          <w:sz w:val="24"/>
          <w:szCs w:val="24"/>
        </w:rPr>
      </w:pPr>
      <w:r w:rsidRPr="003E7ECF">
        <w:rPr>
          <w:sz w:val="24"/>
          <w:szCs w:val="24"/>
        </w:rPr>
        <w:t>Planeeritav tegevus on oma iseloomult ohutu, sest Matsomardi maaüksuse jagamine</w:t>
      </w:r>
      <w:r>
        <w:rPr>
          <w:sz w:val="24"/>
          <w:szCs w:val="24"/>
        </w:rPr>
        <w:t xml:space="preserve"> </w:t>
      </w:r>
      <w:r w:rsidRPr="003E7ECF">
        <w:rPr>
          <w:sz w:val="24"/>
          <w:szCs w:val="24"/>
        </w:rPr>
        <w:t>ja elamu ja kõrvalhoonete ehitamine ei oma eeldatavalt ohtlikku või negatiivset mõju.</w:t>
      </w:r>
    </w:p>
    <w:p w:rsidR="00D145DC" w:rsidRDefault="00D145DC" w:rsidP="00186758">
      <w:pPr>
        <w:jc w:val="both"/>
        <w:rPr>
          <w:sz w:val="24"/>
          <w:szCs w:val="24"/>
        </w:rPr>
      </w:pPr>
    </w:p>
    <w:p w:rsidR="00B46A7E" w:rsidRDefault="00DB755A" w:rsidP="00186758">
      <w:pPr>
        <w:jc w:val="both"/>
        <w:rPr>
          <w:sz w:val="24"/>
          <w:szCs w:val="24"/>
        </w:rPr>
      </w:pPr>
      <w:r w:rsidRPr="00EE1A66">
        <w:rPr>
          <w:sz w:val="24"/>
          <w:szCs w:val="24"/>
        </w:rPr>
        <w:t xml:space="preserve">Eeldatavalt oluliste negatiivsete mõjude ilmnemisvõimaluste analüüsimisel </w:t>
      </w:r>
      <w:r w:rsidR="00716B11" w:rsidRPr="00EE1A66">
        <w:rPr>
          <w:sz w:val="24"/>
          <w:szCs w:val="24"/>
        </w:rPr>
        <w:t xml:space="preserve">(tabel 1) on kasutatud Keskkonnaministeeriumi poolt väljatöötatud juhendit </w:t>
      </w:r>
      <w:r w:rsidR="00716B11">
        <w:rPr>
          <w:sz w:val="24"/>
          <w:szCs w:val="24"/>
        </w:rPr>
        <w:t>„</w:t>
      </w:r>
      <w:r w:rsidR="00716B11" w:rsidRPr="00EE1A66">
        <w:rPr>
          <w:sz w:val="24"/>
          <w:szCs w:val="24"/>
        </w:rPr>
        <w:t>Eelhindamine strateegiliste planeerimisdokumentide keskkonnamõju hindamisel</w:t>
      </w:r>
      <w:r w:rsidR="00716B11">
        <w:rPr>
          <w:sz w:val="24"/>
          <w:szCs w:val="24"/>
        </w:rPr>
        <w:t>“</w:t>
      </w:r>
      <w:r w:rsidR="00716B11" w:rsidRPr="00EE1A66">
        <w:rPr>
          <w:sz w:val="24"/>
          <w:szCs w:val="24"/>
        </w:rPr>
        <w:t xml:space="preserve"> ja Euroopa Komisjoni juhendit </w:t>
      </w:r>
      <w:r w:rsidR="00716B11">
        <w:rPr>
          <w:sz w:val="24"/>
          <w:szCs w:val="24"/>
        </w:rPr>
        <w:t>„</w:t>
      </w:r>
      <w:r w:rsidR="00716B11" w:rsidRPr="00EE1A66">
        <w:rPr>
          <w:sz w:val="24"/>
          <w:szCs w:val="24"/>
        </w:rPr>
        <w:t>Keskkonnamõju hindamine</w:t>
      </w:r>
      <w:r w:rsidR="00716B11">
        <w:rPr>
          <w:sz w:val="24"/>
          <w:szCs w:val="24"/>
        </w:rPr>
        <w:t>“</w:t>
      </w:r>
      <w:r w:rsidR="00716B11" w:rsidRPr="00EE1A66">
        <w:rPr>
          <w:sz w:val="24"/>
          <w:szCs w:val="24"/>
        </w:rPr>
        <w:t>. Tabel 1 täitmisel on arvestatud tegevust iseloomustavat dokumentatsiooni ja infot, Maa-ameti kaardirakendusi, Keskkonnaregistrit jt asjakohaseid andmeid ja allikaid.</w:t>
      </w:r>
    </w:p>
    <w:p w:rsidR="00186758" w:rsidRDefault="00186758" w:rsidP="00186758">
      <w:pPr>
        <w:jc w:val="both"/>
        <w:rPr>
          <w:sz w:val="24"/>
          <w:szCs w:val="24"/>
        </w:rPr>
      </w:pPr>
    </w:p>
    <w:p w:rsidR="008C3E9C" w:rsidRDefault="008C3E9C">
      <w:pPr>
        <w:rPr>
          <w:sz w:val="24"/>
          <w:szCs w:val="24"/>
        </w:rPr>
      </w:pPr>
      <w:r>
        <w:rPr>
          <w:sz w:val="24"/>
          <w:szCs w:val="24"/>
        </w:rPr>
        <w:br w:type="page"/>
      </w:r>
    </w:p>
    <w:p w:rsidR="00716B11" w:rsidRPr="00B221F9" w:rsidRDefault="00716B11" w:rsidP="001E64CB">
      <w:pPr>
        <w:rPr>
          <w:vanish/>
          <w:sz w:val="24"/>
          <w:szCs w:val="24"/>
          <w:specVanish/>
        </w:rPr>
      </w:pPr>
      <w:r w:rsidRPr="00EE1A66">
        <w:rPr>
          <w:sz w:val="24"/>
          <w:szCs w:val="24"/>
        </w:rPr>
        <w:lastRenderedPageBreak/>
        <w:t>Tabel 1. KSH algatamise vajalikkuse kontrolltabel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
        <w:gridCol w:w="3834"/>
        <w:gridCol w:w="2205"/>
        <w:gridCol w:w="2364"/>
      </w:tblGrid>
      <w:tr w:rsidR="00716B11" w:rsidRPr="001E2204" w:rsidTr="007F1760">
        <w:tc>
          <w:tcPr>
            <w:tcW w:w="675"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 xml:space="preserve"> Nr</w:t>
            </w:r>
          </w:p>
        </w:tc>
        <w:tc>
          <w:tcPr>
            <w:tcW w:w="3969"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Küsimus</w:t>
            </w:r>
          </w:p>
        </w:tc>
        <w:tc>
          <w:tcPr>
            <w:tcW w:w="2322"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KeHJS</w:t>
            </w:r>
          </w:p>
        </w:tc>
        <w:tc>
          <w:tcPr>
            <w:tcW w:w="2498" w:type="dxa"/>
          </w:tcPr>
          <w:p w:rsidR="00716B11" w:rsidRPr="007F1760" w:rsidRDefault="00716B11" w:rsidP="007F1760">
            <w:pPr>
              <w:autoSpaceDE w:val="0"/>
              <w:autoSpaceDN w:val="0"/>
              <w:adjustRightInd w:val="0"/>
              <w:rPr>
                <w:sz w:val="24"/>
                <w:szCs w:val="24"/>
                <w:lang w:eastAsia="et-EE"/>
              </w:rPr>
            </w:pPr>
            <w:r w:rsidRPr="007F1760">
              <w:rPr>
                <w:rFonts w:ascii="Times-Bold" w:hAnsi="Times-Bold" w:cs="Times-Bold"/>
                <w:b/>
                <w:bCs/>
                <w:sz w:val="22"/>
                <w:szCs w:val="22"/>
                <w:lang w:eastAsia="et-EE"/>
              </w:rPr>
              <w:t>Vastus</w:t>
            </w:r>
          </w:p>
        </w:tc>
      </w:tr>
      <w:tr w:rsidR="00716B11" w:rsidRPr="001E2204" w:rsidTr="007F1760">
        <w:tc>
          <w:tcPr>
            <w:tcW w:w="675" w:type="dxa"/>
          </w:tcPr>
          <w:p w:rsidR="00716B11" w:rsidRPr="007F1760" w:rsidRDefault="00716B11" w:rsidP="007F1760">
            <w:pPr>
              <w:autoSpaceDE w:val="0"/>
              <w:autoSpaceDN w:val="0"/>
              <w:adjustRightInd w:val="0"/>
              <w:rPr>
                <w:rFonts w:ascii="Times-Bold" w:hAnsi="Times-Bold" w:cs="Times-Bold"/>
                <w:bCs/>
                <w:sz w:val="22"/>
                <w:szCs w:val="22"/>
                <w:lang w:eastAsia="et-EE"/>
              </w:rPr>
            </w:pPr>
            <w:r w:rsidRPr="007F1760">
              <w:rPr>
                <w:rFonts w:ascii="Times-Bold" w:hAnsi="Times-Bold" w:cs="Times-Bold"/>
                <w:bCs/>
                <w:sz w:val="22"/>
                <w:szCs w:val="22"/>
                <w:lang w:eastAsia="et-EE"/>
              </w:rPr>
              <w:t>1</w:t>
            </w:r>
          </w:p>
        </w:tc>
        <w:tc>
          <w:tcPr>
            <w:tcW w:w="3969"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Kas kavandatakse tegevust põllumajanduse, metsanduse, kalanduse, energeetika, tööstuse, transpordi, jäätmekäitluse, veemajanduse, telekommunikatsiooni või turismi valdkonnas?</w:t>
            </w:r>
          </w:p>
        </w:tc>
        <w:tc>
          <w:tcPr>
            <w:tcW w:w="2322"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 33 lg 1 p 1</w:t>
            </w:r>
          </w:p>
        </w:tc>
        <w:tc>
          <w:tcPr>
            <w:tcW w:w="2498" w:type="dxa"/>
          </w:tcPr>
          <w:p w:rsidR="00716B11" w:rsidRPr="007F1760" w:rsidRDefault="00716B11" w:rsidP="007F1760">
            <w:pPr>
              <w:autoSpaceDE w:val="0"/>
              <w:autoSpaceDN w:val="0"/>
              <w:adjustRightInd w:val="0"/>
              <w:rPr>
                <w:rFonts w:ascii="Times-Bold" w:hAnsi="Times-Bold" w:cs="Times-Bold"/>
                <w:bCs/>
                <w:sz w:val="22"/>
                <w:szCs w:val="22"/>
                <w:lang w:eastAsia="et-EE"/>
              </w:rPr>
            </w:pPr>
            <w:r w:rsidRPr="007F1760">
              <w:rPr>
                <w:rFonts w:ascii="Times-Bold" w:hAnsi="Times-Bold" w:cs="Times-Bold"/>
                <w:bCs/>
                <w:sz w:val="22"/>
                <w:szCs w:val="22"/>
                <w:lang w:eastAsia="et-EE"/>
              </w:rPr>
              <w:t>Ei</w:t>
            </w:r>
          </w:p>
        </w:tc>
      </w:tr>
      <w:tr w:rsidR="00716B11" w:rsidRPr="001E2204" w:rsidTr="007F1760">
        <w:tc>
          <w:tcPr>
            <w:tcW w:w="675" w:type="dxa"/>
          </w:tcPr>
          <w:p w:rsidR="00716B11" w:rsidRPr="007F1760" w:rsidRDefault="00716B11" w:rsidP="007F1760">
            <w:pPr>
              <w:autoSpaceDE w:val="0"/>
              <w:autoSpaceDN w:val="0"/>
              <w:adjustRightInd w:val="0"/>
              <w:rPr>
                <w:rFonts w:ascii="Times-Bold" w:hAnsi="Times-Bold" w:cs="Times-Bold"/>
                <w:bCs/>
                <w:sz w:val="22"/>
                <w:szCs w:val="22"/>
                <w:lang w:eastAsia="et-EE"/>
              </w:rPr>
            </w:pPr>
            <w:r w:rsidRPr="007F1760">
              <w:rPr>
                <w:rFonts w:ascii="Times-Bold" w:hAnsi="Times-Bold" w:cs="Times-Bold"/>
                <w:bCs/>
                <w:sz w:val="22"/>
                <w:szCs w:val="22"/>
                <w:lang w:eastAsia="et-EE"/>
              </w:rPr>
              <w:t>2</w:t>
            </w:r>
          </w:p>
        </w:tc>
        <w:tc>
          <w:tcPr>
            <w:tcW w:w="3969"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Kas kavandatakse üleriigilist, maakonna</w:t>
            </w:r>
            <w:r w:rsidR="00B37F65">
              <w:rPr>
                <w:rFonts w:ascii="Times-Roman" w:hAnsi="Times-Roman" w:cs="Times-Roman"/>
                <w:sz w:val="22"/>
                <w:szCs w:val="22"/>
                <w:lang w:eastAsia="et-EE"/>
              </w:rPr>
              <w:t xml:space="preserve"> </w:t>
            </w:r>
            <w:r w:rsidRPr="007F1760">
              <w:rPr>
                <w:rFonts w:ascii="Times-Roman" w:hAnsi="Times-Roman" w:cs="Times-Roman"/>
                <w:sz w:val="22"/>
                <w:szCs w:val="22"/>
                <w:lang w:eastAsia="et-EE"/>
              </w:rPr>
              <w:t>või üldplaneeringut?</w:t>
            </w:r>
          </w:p>
        </w:tc>
        <w:tc>
          <w:tcPr>
            <w:tcW w:w="2322"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rFonts w:ascii="Times-Roman" w:hAnsi="Times-Roman" w:cs="Times-Roman"/>
                <w:sz w:val="22"/>
                <w:szCs w:val="22"/>
                <w:lang w:eastAsia="et-EE"/>
              </w:rPr>
              <w:t>§ 33 lg 1 p 2</w:t>
            </w:r>
          </w:p>
        </w:tc>
        <w:tc>
          <w:tcPr>
            <w:tcW w:w="2498" w:type="dxa"/>
          </w:tcPr>
          <w:p w:rsidR="00716B11" w:rsidRPr="007F1760" w:rsidRDefault="00716B11" w:rsidP="007F1760">
            <w:pPr>
              <w:autoSpaceDE w:val="0"/>
              <w:autoSpaceDN w:val="0"/>
              <w:adjustRightInd w:val="0"/>
              <w:rPr>
                <w:rFonts w:ascii="Times-Bold" w:hAnsi="Times-Bold" w:cs="Times-Bold"/>
                <w:b/>
                <w:bCs/>
                <w:sz w:val="22"/>
                <w:szCs w:val="22"/>
                <w:lang w:eastAsia="et-EE"/>
              </w:rPr>
            </w:pPr>
            <w:r w:rsidRPr="007F1760">
              <w:rPr>
                <w:sz w:val="24"/>
                <w:szCs w:val="24"/>
                <w:lang w:eastAsia="et-EE"/>
              </w:rPr>
              <w:t>Ei</w:t>
            </w:r>
          </w:p>
        </w:tc>
      </w:tr>
      <w:tr w:rsidR="00716B11" w:rsidRPr="001E2204" w:rsidTr="007F1760">
        <w:tc>
          <w:tcPr>
            <w:tcW w:w="675" w:type="dxa"/>
          </w:tcPr>
          <w:p w:rsidR="00716B11" w:rsidRPr="007F1760" w:rsidRDefault="00716B11" w:rsidP="007F1760">
            <w:pPr>
              <w:autoSpaceDE w:val="0"/>
              <w:autoSpaceDN w:val="0"/>
              <w:adjustRightInd w:val="0"/>
              <w:rPr>
                <w:sz w:val="24"/>
                <w:szCs w:val="24"/>
                <w:lang w:eastAsia="et-EE"/>
              </w:rPr>
            </w:pPr>
            <w:r w:rsidRPr="007F1760">
              <w:rPr>
                <w:sz w:val="24"/>
                <w:szCs w:val="24"/>
                <w:lang w:eastAsia="et-EE"/>
              </w:rPr>
              <w:t>3</w:t>
            </w:r>
          </w:p>
        </w:tc>
        <w:tc>
          <w:tcPr>
            <w:tcW w:w="3969" w:type="dxa"/>
          </w:tcPr>
          <w:p w:rsidR="00716B11" w:rsidRPr="007F1760" w:rsidRDefault="00716B11" w:rsidP="007F1760">
            <w:pPr>
              <w:autoSpaceDE w:val="0"/>
              <w:autoSpaceDN w:val="0"/>
              <w:adjustRightInd w:val="0"/>
              <w:rPr>
                <w:sz w:val="24"/>
                <w:szCs w:val="24"/>
                <w:lang w:eastAsia="et-EE"/>
              </w:rPr>
            </w:pPr>
            <w:r w:rsidRPr="007F1760">
              <w:rPr>
                <w:rFonts w:ascii="Times-Roman" w:hAnsi="Times-Roman" w:cs="Times-Roman"/>
                <w:sz w:val="22"/>
                <w:szCs w:val="22"/>
                <w:lang w:eastAsia="et-EE"/>
              </w:rPr>
              <w:t>Kas kavandatakse detailplaneeringut, mis liigitub KeHJS § 6 lg 1 alla?</w:t>
            </w:r>
          </w:p>
        </w:tc>
        <w:tc>
          <w:tcPr>
            <w:tcW w:w="2322" w:type="dxa"/>
          </w:tcPr>
          <w:p w:rsidR="00716B11" w:rsidRPr="007F1760" w:rsidRDefault="00716B11" w:rsidP="007F1760">
            <w:pPr>
              <w:autoSpaceDE w:val="0"/>
              <w:autoSpaceDN w:val="0"/>
              <w:adjustRightInd w:val="0"/>
              <w:rPr>
                <w:sz w:val="24"/>
                <w:szCs w:val="24"/>
                <w:lang w:eastAsia="et-EE"/>
              </w:rPr>
            </w:pPr>
            <w:r w:rsidRPr="007F1760">
              <w:rPr>
                <w:rFonts w:ascii="Times-Roman" w:hAnsi="Times-Roman" w:cs="Times-Roman"/>
                <w:sz w:val="22"/>
                <w:szCs w:val="22"/>
                <w:lang w:eastAsia="et-EE"/>
              </w:rPr>
              <w:t>§ 33 lg 1 p 3</w:t>
            </w:r>
          </w:p>
        </w:tc>
        <w:tc>
          <w:tcPr>
            <w:tcW w:w="2498" w:type="dxa"/>
          </w:tcPr>
          <w:p w:rsidR="00716B11" w:rsidRPr="007F1760" w:rsidRDefault="00716B11" w:rsidP="007F1760">
            <w:pPr>
              <w:autoSpaceDE w:val="0"/>
              <w:autoSpaceDN w:val="0"/>
              <w:adjustRightInd w:val="0"/>
              <w:rPr>
                <w:sz w:val="24"/>
                <w:szCs w:val="24"/>
                <w:lang w:eastAsia="et-EE"/>
              </w:rPr>
            </w:pPr>
            <w:r w:rsidRPr="007F1760">
              <w:rPr>
                <w:sz w:val="24"/>
                <w:szCs w:val="24"/>
                <w:lang w:eastAsia="et-EE"/>
              </w:rPr>
              <w:t>Ei</w:t>
            </w:r>
          </w:p>
        </w:tc>
      </w:tr>
      <w:tr w:rsidR="00716B11" w:rsidRPr="001E2204" w:rsidTr="007F1760">
        <w:tc>
          <w:tcPr>
            <w:tcW w:w="675" w:type="dxa"/>
          </w:tcPr>
          <w:p w:rsidR="00716B11" w:rsidRPr="007F1760" w:rsidRDefault="00716B11" w:rsidP="007F1760">
            <w:pPr>
              <w:autoSpaceDE w:val="0"/>
              <w:autoSpaceDN w:val="0"/>
              <w:adjustRightInd w:val="0"/>
              <w:rPr>
                <w:sz w:val="24"/>
                <w:szCs w:val="24"/>
                <w:lang w:eastAsia="et-EE"/>
              </w:rPr>
            </w:pPr>
            <w:r w:rsidRPr="007F1760">
              <w:rPr>
                <w:sz w:val="24"/>
                <w:szCs w:val="24"/>
                <w:lang w:eastAsia="et-EE"/>
              </w:rPr>
              <w:t>4</w:t>
            </w:r>
          </w:p>
        </w:tc>
        <w:tc>
          <w:tcPr>
            <w:tcW w:w="3969" w:type="dxa"/>
          </w:tcPr>
          <w:p w:rsidR="00716B11" w:rsidRPr="007F1760"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Kas kavandatakse detailplaneeringut, mis liigitub KeHJS § 6 lg 2-4 alla?</w:t>
            </w:r>
          </w:p>
        </w:tc>
        <w:tc>
          <w:tcPr>
            <w:tcW w:w="2322" w:type="dxa"/>
          </w:tcPr>
          <w:p w:rsidR="00716B11" w:rsidRPr="007F1760"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 33 lg 1 p 3</w:t>
            </w:r>
          </w:p>
        </w:tc>
        <w:tc>
          <w:tcPr>
            <w:tcW w:w="2498" w:type="dxa"/>
          </w:tcPr>
          <w:p w:rsidR="00716B11" w:rsidRPr="007F1760" w:rsidRDefault="0084269A" w:rsidP="007F1760">
            <w:pPr>
              <w:autoSpaceDE w:val="0"/>
              <w:autoSpaceDN w:val="0"/>
              <w:adjustRightInd w:val="0"/>
              <w:rPr>
                <w:sz w:val="24"/>
                <w:szCs w:val="24"/>
                <w:vertAlign w:val="superscript"/>
                <w:lang w:eastAsia="et-EE"/>
              </w:rPr>
            </w:pPr>
            <w:r>
              <w:rPr>
                <w:sz w:val="24"/>
                <w:szCs w:val="24"/>
                <w:lang w:eastAsia="et-EE"/>
              </w:rPr>
              <w:t>Ei</w:t>
            </w:r>
          </w:p>
        </w:tc>
      </w:tr>
      <w:tr w:rsidR="00716B11" w:rsidRPr="001E2204" w:rsidTr="007F1760">
        <w:tc>
          <w:tcPr>
            <w:tcW w:w="675"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5</w:t>
            </w:r>
          </w:p>
        </w:tc>
        <w:tc>
          <w:tcPr>
            <w:tcW w:w="3969"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Kas kavandatakse tegevust, mis eeldatavalt avaldab Natura 2000 võrgustiku alale olulist mõju?</w:t>
            </w:r>
          </w:p>
        </w:tc>
        <w:tc>
          <w:tcPr>
            <w:tcW w:w="2322"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7F1760">
              <w:rPr>
                <w:rFonts w:ascii="Times-Roman" w:hAnsi="Times-Roman" w:cs="Times-Roman"/>
                <w:sz w:val="22"/>
                <w:szCs w:val="22"/>
                <w:lang w:eastAsia="et-EE"/>
              </w:rPr>
              <w:t>§ 33 lg 1 p 4</w:t>
            </w:r>
          </w:p>
        </w:tc>
        <w:tc>
          <w:tcPr>
            <w:tcW w:w="2498"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Ei</w:t>
            </w:r>
          </w:p>
        </w:tc>
      </w:tr>
      <w:tr w:rsidR="00716B11" w:rsidRPr="001E2204" w:rsidTr="007F1760">
        <w:tc>
          <w:tcPr>
            <w:tcW w:w="675" w:type="dxa"/>
          </w:tcPr>
          <w:p w:rsidR="00716B11" w:rsidRPr="009F21AB"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6</w:t>
            </w:r>
          </w:p>
        </w:tc>
        <w:tc>
          <w:tcPr>
            <w:tcW w:w="3969" w:type="dxa"/>
          </w:tcPr>
          <w:p w:rsidR="00716B11" w:rsidRPr="007F1760" w:rsidRDefault="00716B11" w:rsidP="007F1760">
            <w:pPr>
              <w:autoSpaceDE w:val="0"/>
              <w:autoSpaceDN w:val="0"/>
              <w:adjustRightInd w:val="0"/>
              <w:rPr>
                <w:rFonts w:ascii="Times-Roman" w:hAnsi="Times-Roman" w:cs="Times-Roman"/>
                <w:sz w:val="22"/>
                <w:szCs w:val="22"/>
                <w:lang w:eastAsia="et-EE"/>
              </w:rPr>
            </w:pPr>
            <w:r w:rsidRPr="009F21AB">
              <w:rPr>
                <w:rFonts w:ascii="Times-Roman" w:hAnsi="Times-Roman" w:cs="Times-Roman"/>
                <w:sz w:val="22"/>
                <w:szCs w:val="22"/>
                <w:lang w:eastAsia="et-EE"/>
              </w:rPr>
              <w:t>Kas strateegilises planeerimisdokumendis tehakse muudatusi</w:t>
            </w:r>
            <w:r w:rsidR="00B37F65">
              <w:rPr>
                <w:rFonts w:ascii="Times-Roman" w:hAnsi="Times-Roman" w:cs="Times-Roman"/>
                <w:sz w:val="22"/>
                <w:szCs w:val="22"/>
                <w:lang w:eastAsia="et-EE"/>
              </w:rPr>
              <w:t>?</w:t>
            </w:r>
          </w:p>
        </w:tc>
        <w:tc>
          <w:tcPr>
            <w:tcW w:w="2322" w:type="dxa"/>
          </w:tcPr>
          <w:p w:rsidR="00716B11" w:rsidRPr="007F1760" w:rsidRDefault="00716B11"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 33 lg 2</w:t>
            </w:r>
            <w:r w:rsidRPr="007F1760">
              <w:rPr>
                <w:rFonts w:ascii="Times-Roman" w:hAnsi="Times-Roman" w:cs="Times-Roman"/>
                <w:sz w:val="22"/>
                <w:szCs w:val="22"/>
                <w:lang w:eastAsia="et-EE"/>
              </w:rPr>
              <w:t xml:space="preserve"> p </w:t>
            </w:r>
            <w:r>
              <w:rPr>
                <w:rFonts w:ascii="Times-Roman" w:hAnsi="Times-Roman" w:cs="Times-Roman"/>
                <w:sz w:val="22"/>
                <w:szCs w:val="22"/>
                <w:lang w:eastAsia="et-EE"/>
              </w:rPr>
              <w:t>1</w:t>
            </w:r>
          </w:p>
        </w:tc>
        <w:tc>
          <w:tcPr>
            <w:tcW w:w="2498" w:type="dxa"/>
          </w:tcPr>
          <w:p w:rsidR="00716B11" w:rsidRPr="009F21AB" w:rsidRDefault="00C655FF" w:rsidP="007F1760">
            <w:pPr>
              <w:autoSpaceDE w:val="0"/>
              <w:autoSpaceDN w:val="0"/>
              <w:adjustRightInd w:val="0"/>
              <w:rPr>
                <w:rFonts w:ascii="Times-Roman" w:hAnsi="Times-Roman" w:cs="Times-Roman"/>
                <w:sz w:val="22"/>
                <w:szCs w:val="22"/>
                <w:lang w:eastAsia="et-EE"/>
              </w:rPr>
            </w:pPr>
            <w:r w:rsidRPr="00B37F65">
              <w:rPr>
                <w:rFonts w:ascii="Times-Roman" w:hAnsi="Times-Roman" w:cs="Times-Roman"/>
                <w:sz w:val="22"/>
                <w:szCs w:val="22"/>
                <w:lang w:eastAsia="et-EE"/>
              </w:rPr>
              <w:t>Ei</w:t>
            </w:r>
          </w:p>
        </w:tc>
      </w:tr>
      <w:tr w:rsidR="00186758" w:rsidRPr="001E2204" w:rsidTr="007F1760">
        <w:tc>
          <w:tcPr>
            <w:tcW w:w="675" w:type="dxa"/>
          </w:tcPr>
          <w:p w:rsidR="00186758" w:rsidRPr="009F21AB" w:rsidRDefault="00186758"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7</w:t>
            </w:r>
          </w:p>
        </w:tc>
        <w:tc>
          <w:tcPr>
            <w:tcW w:w="3969" w:type="dxa"/>
          </w:tcPr>
          <w:p w:rsidR="00186758" w:rsidRPr="009F21AB" w:rsidRDefault="00186758" w:rsidP="007F1760">
            <w:pPr>
              <w:autoSpaceDE w:val="0"/>
              <w:autoSpaceDN w:val="0"/>
              <w:adjustRightInd w:val="0"/>
              <w:rPr>
                <w:rFonts w:ascii="Times-Roman" w:hAnsi="Times-Roman" w:cs="Times-Roman"/>
                <w:sz w:val="22"/>
                <w:szCs w:val="22"/>
                <w:lang w:eastAsia="et-EE"/>
              </w:rPr>
            </w:pPr>
            <w:r w:rsidRPr="006E6037">
              <w:rPr>
                <w:rFonts w:ascii="Times-Roman" w:hAnsi="Times-Roman" w:cs="Times-Roman"/>
                <w:sz w:val="22"/>
                <w:szCs w:val="22"/>
                <w:lang w:eastAsia="et-EE"/>
              </w:rPr>
              <w:t>Kas kavandatakse tegevust, mille jaoks on vaja tegevusluba</w:t>
            </w:r>
            <w:r>
              <w:rPr>
                <w:rFonts w:ascii="Times-Roman" w:hAnsi="Times-Roman" w:cs="Times-Roman"/>
                <w:sz w:val="22"/>
                <w:szCs w:val="22"/>
                <w:lang w:eastAsia="et-EE"/>
              </w:rPr>
              <w:t>?</w:t>
            </w:r>
          </w:p>
        </w:tc>
        <w:tc>
          <w:tcPr>
            <w:tcW w:w="2322" w:type="dxa"/>
          </w:tcPr>
          <w:p w:rsidR="00186758" w:rsidRDefault="00186758"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 33 lg 2</w:t>
            </w:r>
            <w:r w:rsidRPr="007F1760">
              <w:rPr>
                <w:rFonts w:ascii="Times-Roman" w:hAnsi="Times-Roman" w:cs="Times-Roman"/>
                <w:sz w:val="22"/>
                <w:szCs w:val="22"/>
                <w:lang w:eastAsia="et-EE"/>
              </w:rPr>
              <w:t xml:space="preserve"> p </w:t>
            </w:r>
            <w:r>
              <w:rPr>
                <w:rFonts w:ascii="Times-Roman" w:hAnsi="Times-Roman" w:cs="Times-Roman"/>
                <w:sz w:val="22"/>
                <w:szCs w:val="22"/>
                <w:lang w:eastAsia="et-EE"/>
              </w:rPr>
              <w:t>2</w:t>
            </w:r>
          </w:p>
        </w:tc>
        <w:tc>
          <w:tcPr>
            <w:tcW w:w="2498" w:type="dxa"/>
          </w:tcPr>
          <w:p w:rsidR="00186758" w:rsidRPr="00B37F65" w:rsidRDefault="00186758" w:rsidP="007F1760">
            <w:pPr>
              <w:autoSpaceDE w:val="0"/>
              <w:autoSpaceDN w:val="0"/>
              <w:adjustRightInd w:val="0"/>
              <w:rPr>
                <w:rFonts w:ascii="Times-Roman" w:hAnsi="Times-Roman" w:cs="Times-Roman"/>
                <w:sz w:val="22"/>
                <w:szCs w:val="22"/>
                <w:lang w:eastAsia="et-EE"/>
              </w:rPr>
            </w:pPr>
            <w:r>
              <w:rPr>
                <w:rFonts w:ascii="Times-Roman" w:hAnsi="Times-Roman" w:cs="Times-Roman"/>
                <w:sz w:val="22"/>
                <w:szCs w:val="22"/>
                <w:lang w:eastAsia="et-EE"/>
              </w:rPr>
              <w:t>Jah</w:t>
            </w:r>
          </w:p>
        </w:tc>
      </w:tr>
    </w:tbl>
    <w:p w:rsidR="00716B11" w:rsidRPr="001E2204" w:rsidRDefault="00716B11" w:rsidP="00CE28F0">
      <w:pPr>
        <w:jc w:val="both"/>
      </w:pPr>
    </w:p>
    <w:p w:rsidR="00221771" w:rsidRDefault="00221771" w:rsidP="003E7ECF">
      <w:pPr>
        <w:autoSpaceDE w:val="0"/>
        <w:autoSpaceDN w:val="0"/>
        <w:adjustRightInd w:val="0"/>
        <w:jc w:val="both"/>
        <w:rPr>
          <w:sz w:val="24"/>
          <w:szCs w:val="24"/>
        </w:rPr>
      </w:pPr>
    </w:p>
    <w:p w:rsidR="00716B11" w:rsidRDefault="00716B11" w:rsidP="003E7ECF">
      <w:pPr>
        <w:autoSpaceDE w:val="0"/>
        <w:autoSpaceDN w:val="0"/>
        <w:adjustRightInd w:val="0"/>
        <w:jc w:val="both"/>
        <w:rPr>
          <w:sz w:val="24"/>
          <w:szCs w:val="24"/>
        </w:rPr>
      </w:pPr>
      <w:r w:rsidRPr="00EE1A66">
        <w:rPr>
          <w:sz w:val="24"/>
          <w:szCs w:val="24"/>
        </w:rPr>
        <w:t>D</w:t>
      </w:r>
      <w:r w:rsidR="000332C8">
        <w:rPr>
          <w:sz w:val="24"/>
          <w:szCs w:val="24"/>
        </w:rPr>
        <w:t>P</w:t>
      </w:r>
      <w:r w:rsidR="00F7252F">
        <w:rPr>
          <w:sz w:val="24"/>
          <w:szCs w:val="24"/>
        </w:rPr>
        <w:t>-ga</w:t>
      </w:r>
      <w:r w:rsidRPr="00EE1A66">
        <w:rPr>
          <w:sz w:val="24"/>
          <w:szCs w:val="24"/>
        </w:rPr>
        <w:t xml:space="preserve"> kavandatav tegevus ei põhjusta loodusvarade taastumisvõime ega looduskeskkonna vastupanuvõime ületamist (KeHJS § 6 lg 3 p 1), sest planeeringualal ei esine olulise tähtsusega loodusvarasid ning planeeringuga ei kaasne olulist negatiivset mõju looduskeskkonnale. </w:t>
      </w:r>
      <w:r w:rsidR="0059130D">
        <w:rPr>
          <w:sz w:val="24"/>
          <w:szCs w:val="24"/>
        </w:rPr>
        <w:t>M</w:t>
      </w:r>
      <w:r w:rsidR="0059130D" w:rsidRPr="0059130D">
        <w:rPr>
          <w:sz w:val="24"/>
          <w:szCs w:val="24"/>
        </w:rPr>
        <w:t>ärgalasid, muinsus- või looduskaitsealuseid objekte, olulise iseloomuga loodusvarasid, tundlikke pinnavorme, kaitstavaid metsi kinnistul teadaolevalt ei leidu, seega puudub mõju neile objektidele.</w:t>
      </w:r>
      <w:r w:rsidR="00A143D6" w:rsidRPr="00A143D6">
        <w:rPr>
          <w:sz w:val="24"/>
          <w:szCs w:val="24"/>
        </w:rPr>
        <w:t xml:space="preserve"> </w:t>
      </w:r>
      <w:r w:rsidR="00A143D6">
        <w:rPr>
          <w:sz w:val="24"/>
          <w:szCs w:val="24"/>
        </w:rPr>
        <w:t>O</w:t>
      </w:r>
      <w:r w:rsidR="00A143D6" w:rsidRPr="004654DC">
        <w:rPr>
          <w:sz w:val="24"/>
          <w:szCs w:val="24"/>
        </w:rPr>
        <w:t>lemasolevaid metsakooslusi kavandatav tegevus eeldatavasti ei mõjuta, kuna hoonestusala kavandatakse rohumaale</w:t>
      </w:r>
      <w:r w:rsidR="00A143D6">
        <w:rPr>
          <w:sz w:val="24"/>
          <w:szCs w:val="24"/>
        </w:rPr>
        <w:t>.</w:t>
      </w:r>
      <w:r w:rsidR="003E7ECF">
        <w:rPr>
          <w:sz w:val="24"/>
          <w:szCs w:val="24"/>
        </w:rPr>
        <w:t xml:space="preserve"> </w:t>
      </w:r>
      <w:r w:rsidR="003E7ECF" w:rsidRPr="003E7ECF">
        <w:rPr>
          <w:sz w:val="24"/>
          <w:szCs w:val="24"/>
        </w:rPr>
        <w:t>Eelnevast lähtudes sobib kavandatav tegevus lähiümbrusesse ilma, et piirkonnale või planeeritavale alale olulisi kahjulikke mõjusid kaasneks.</w:t>
      </w:r>
    </w:p>
    <w:p w:rsidR="00716B11" w:rsidRDefault="00716B11" w:rsidP="003E7ECF">
      <w:pPr>
        <w:autoSpaceDE w:val="0"/>
        <w:autoSpaceDN w:val="0"/>
        <w:adjustRightInd w:val="0"/>
        <w:jc w:val="both"/>
        <w:rPr>
          <w:sz w:val="24"/>
          <w:szCs w:val="24"/>
        </w:rPr>
      </w:pPr>
    </w:p>
    <w:p w:rsidR="00B37F65" w:rsidRPr="003E7ECF" w:rsidRDefault="00716B11" w:rsidP="003E7ECF">
      <w:pPr>
        <w:autoSpaceDE w:val="0"/>
        <w:autoSpaceDN w:val="0"/>
        <w:adjustRightInd w:val="0"/>
        <w:jc w:val="both"/>
        <w:rPr>
          <w:rFonts w:eastAsia="SimSun" w:cs="Mangal"/>
          <w:kern w:val="1"/>
          <w:sz w:val="24"/>
          <w:szCs w:val="24"/>
          <w:lang w:val="cs-CZ" w:eastAsia="zh-CN" w:bidi="hi-IN"/>
        </w:rPr>
      </w:pPr>
      <w:r w:rsidRPr="00EE1A66">
        <w:rPr>
          <w:sz w:val="24"/>
          <w:szCs w:val="24"/>
        </w:rPr>
        <w:t>D</w:t>
      </w:r>
      <w:r w:rsidR="000332C8">
        <w:rPr>
          <w:sz w:val="24"/>
          <w:szCs w:val="24"/>
        </w:rPr>
        <w:t>P</w:t>
      </w:r>
      <w:r w:rsidRPr="00EE1A66">
        <w:rPr>
          <w:sz w:val="24"/>
          <w:szCs w:val="24"/>
        </w:rPr>
        <w:t xml:space="preserve"> alal ega selle </w:t>
      </w:r>
      <w:r w:rsidRPr="003E7ECF">
        <w:rPr>
          <w:rFonts w:eastAsia="SimSun" w:cs="Mangal"/>
          <w:kern w:val="1"/>
          <w:sz w:val="24"/>
          <w:szCs w:val="24"/>
          <w:lang w:val="cs-CZ" w:eastAsia="zh-CN" w:bidi="hi-IN"/>
        </w:rPr>
        <w:t xml:space="preserve">lähiümbruses ei paikne kaitstavaid loodusobjekte, Natura 2000 võrgustiku alasid ega teisi maastikuliselt väärtuslikke või tundlikke alasid, </w:t>
      </w:r>
      <w:r w:rsidR="00B37F65" w:rsidRPr="003E7ECF">
        <w:rPr>
          <w:rFonts w:eastAsia="SimSun" w:cs="Mangal"/>
          <w:kern w:val="1"/>
          <w:sz w:val="24"/>
          <w:szCs w:val="24"/>
          <w:lang w:val="cs-CZ" w:eastAsia="zh-CN" w:bidi="hi-IN"/>
        </w:rPr>
        <w:t xml:space="preserve">mida </w:t>
      </w:r>
      <w:r w:rsidR="000332C8" w:rsidRPr="003E7ECF">
        <w:rPr>
          <w:rFonts w:eastAsia="SimSun" w:cs="Mangal"/>
          <w:kern w:val="1"/>
          <w:sz w:val="24"/>
          <w:szCs w:val="24"/>
          <w:lang w:val="cs-CZ" w:eastAsia="zh-CN" w:bidi="hi-IN"/>
        </w:rPr>
        <w:t>DP</w:t>
      </w:r>
      <w:r w:rsidR="00F7252F" w:rsidRPr="003E7ECF">
        <w:rPr>
          <w:rFonts w:eastAsia="SimSun" w:cs="Mangal"/>
          <w:kern w:val="1"/>
          <w:sz w:val="24"/>
          <w:szCs w:val="24"/>
          <w:lang w:val="cs-CZ" w:eastAsia="zh-CN" w:bidi="hi-IN"/>
        </w:rPr>
        <w:t>-</w:t>
      </w:r>
      <w:r w:rsidR="00B37F65" w:rsidRPr="003E7ECF">
        <w:rPr>
          <w:rFonts w:eastAsia="SimSun" w:cs="Mangal"/>
          <w:kern w:val="1"/>
          <w:sz w:val="24"/>
          <w:szCs w:val="24"/>
          <w:lang w:val="cs-CZ" w:eastAsia="zh-CN" w:bidi="hi-IN"/>
        </w:rPr>
        <w:t>ga käsitle</w:t>
      </w:r>
      <w:r w:rsidRPr="003E7ECF">
        <w:rPr>
          <w:rFonts w:eastAsia="SimSun" w:cs="Mangal"/>
          <w:kern w:val="1"/>
          <w:sz w:val="24"/>
          <w:szCs w:val="24"/>
          <w:lang w:val="cs-CZ" w:eastAsia="zh-CN" w:bidi="hi-IN"/>
        </w:rPr>
        <w:t>tav tegevus või</w:t>
      </w:r>
      <w:r w:rsidR="00B37F65" w:rsidRPr="003E7ECF">
        <w:rPr>
          <w:rFonts w:eastAsia="SimSun" w:cs="Mangal"/>
          <w:kern w:val="1"/>
          <w:sz w:val="24"/>
          <w:szCs w:val="24"/>
          <w:lang w:val="cs-CZ" w:eastAsia="zh-CN" w:bidi="hi-IN"/>
        </w:rPr>
        <w:t>b mõjutada. Ei esine märgalasid ega</w:t>
      </w:r>
      <w:r w:rsidRPr="003E7ECF">
        <w:rPr>
          <w:rFonts w:eastAsia="SimSun" w:cs="Mangal"/>
          <w:kern w:val="1"/>
          <w:sz w:val="24"/>
          <w:szCs w:val="24"/>
          <w:lang w:val="cs-CZ" w:eastAsia="zh-CN" w:bidi="hi-IN"/>
        </w:rPr>
        <w:t xml:space="preserve"> randu</w:t>
      </w:r>
      <w:r w:rsidR="00B37F65" w:rsidRPr="003E7ECF">
        <w:rPr>
          <w:rFonts w:eastAsia="SimSun" w:cs="Mangal"/>
          <w:kern w:val="1"/>
          <w:sz w:val="24"/>
          <w:szCs w:val="24"/>
          <w:lang w:val="cs-CZ" w:eastAsia="zh-CN" w:bidi="hi-IN"/>
        </w:rPr>
        <w:t>.</w:t>
      </w:r>
      <w:r w:rsidRPr="003E7ECF">
        <w:rPr>
          <w:rFonts w:eastAsia="SimSun" w:cs="Mangal"/>
          <w:kern w:val="1"/>
          <w:sz w:val="24"/>
          <w:szCs w:val="24"/>
          <w:lang w:val="cs-CZ" w:eastAsia="zh-CN" w:bidi="hi-IN"/>
        </w:rPr>
        <w:t xml:space="preserve"> Lähim </w:t>
      </w:r>
      <w:r w:rsidR="00AA6DCE" w:rsidRPr="003E7ECF">
        <w:rPr>
          <w:rFonts w:eastAsia="SimSun" w:cs="Mangal"/>
          <w:kern w:val="1"/>
          <w:sz w:val="24"/>
          <w:szCs w:val="24"/>
          <w:lang w:val="cs-CZ" w:eastAsia="zh-CN" w:bidi="hi-IN"/>
        </w:rPr>
        <w:t xml:space="preserve">looduskaitsealune objekt, </w:t>
      </w:r>
      <w:r w:rsidR="00F37741" w:rsidRPr="003E7ECF">
        <w:rPr>
          <w:rFonts w:eastAsia="SimSun" w:cs="Mangal"/>
          <w:kern w:val="1"/>
          <w:sz w:val="24"/>
          <w:szCs w:val="24"/>
          <w:lang w:val="cs-CZ" w:eastAsia="zh-CN" w:bidi="hi-IN"/>
        </w:rPr>
        <w:t>Sutlema park koos tiikidega  (KLO1200404</w:t>
      </w:r>
      <w:r w:rsidR="00DA00BF" w:rsidRPr="003E7ECF">
        <w:rPr>
          <w:rFonts w:eastAsia="SimSun" w:cs="Mangal"/>
          <w:kern w:val="1"/>
          <w:sz w:val="24"/>
          <w:szCs w:val="24"/>
          <w:lang w:val="cs-CZ" w:eastAsia="zh-CN" w:bidi="hi-IN"/>
        </w:rPr>
        <w:t>)</w:t>
      </w:r>
      <w:r w:rsidR="00AA6DCE" w:rsidRPr="003E7ECF">
        <w:rPr>
          <w:rFonts w:eastAsia="SimSun" w:cs="Mangal"/>
          <w:kern w:val="1"/>
          <w:sz w:val="24"/>
          <w:szCs w:val="24"/>
          <w:lang w:val="cs-CZ" w:eastAsia="zh-CN" w:bidi="hi-IN"/>
        </w:rPr>
        <w:t xml:space="preserve">, asub </w:t>
      </w:r>
      <w:r w:rsidR="006963F9" w:rsidRPr="003E7ECF">
        <w:rPr>
          <w:rFonts w:eastAsia="SimSun" w:cs="Mangal"/>
          <w:kern w:val="1"/>
          <w:sz w:val="24"/>
          <w:szCs w:val="24"/>
          <w:lang w:val="cs-CZ" w:eastAsia="zh-CN" w:bidi="hi-IN"/>
        </w:rPr>
        <w:t>käsitletavast</w:t>
      </w:r>
      <w:r w:rsidR="00AA6DCE" w:rsidRPr="003E7ECF">
        <w:rPr>
          <w:rFonts w:eastAsia="SimSun" w:cs="Mangal"/>
          <w:kern w:val="1"/>
          <w:sz w:val="24"/>
          <w:szCs w:val="24"/>
          <w:lang w:val="cs-CZ" w:eastAsia="zh-CN" w:bidi="hi-IN"/>
        </w:rPr>
        <w:t xml:space="preserve"> kinnistust </w:t>
      </w:r>
      <w:r w:rsidR="00DD0AAC">
        <w:rPr>
          <w:rFonts w:eastAsia="SimSun" w:cs="Mangal"/>
          <w:kern w:val="1"/>
          <w:sz w:val="24"/>
          <w:szCs w:val="24"/>
          <w:lang w:val="cs-CZ" w:eastAsia="zh-CN" w:bidi="hi-IN"/>
        </w:rPr>
        <w:t>ligikaudu</w:t>
      </w:r>
      <w:r w:rsidR="00AA6DCE" w:rsidRPr="003E7ECF">
        <w:rPr>
          <w:rFonts w:eastAsia="SimSun" w:cs="Mangal"/>
          <w:kern w:val="1"/>
          <w:sz w:val="24"/>
          <w:szCs w:val="24"/>
          <w:lang w:val="cs-CZ" w:eastAsia="zh-CN" w:bidi="hi-IN"/>
        </w:rPr>
        <w:t xml:space="preserve"> </w:t>
      </w:r>
      <w:r w:rsidR="00F37741" w:rsidRPr="003E7ECF">
        <w:rPr>
          <w:rFonts w:eastAsia="SimSun" w:cs="Mangal"/>
          <w:kern w:val="1"/>
          <w:sz w:val="24"/>
          <w:szCs w:val="24"/>
          <w:lang w:val="cs-CZ" w:eastAsia="zh-CN" w:bidi="hi-IN"/>
        </w:rPr>
        <w:t>1,48</w:t>
      </w:r>
      <w:r w:rsidR="00AA6DCE" w:rsidRPr="003E7ECF">
        <w:rPr>
          <w:rFonts w:eastAsia="SimSun" w:cs="Mangal"/>
          <w:kern w:val="1"/>
          <w:sz w:val="24"/>
          <w:szCs w:val="24"/>
          <w:lang w:val="cs-CZ" w:eastAsia="zh-CN" w:bidi="hi-IN"/>
        </w:rPr>
        <w:t xml:space="preserve"> </w:t>
      </w:r>
      <w:r w:rsidR="00F37741" w:rsidRPr="003E7ECF">
        <w:rPr>
          <w:rFonts w:eastAsia="SimSun" w:cs="Mangal"/>
          <w:kern w:val="1"/>
          <w:sz w:val="24"/>
          <w:szCs w:val="24"/>
          <w:lang w:val="cs-CZ" w:eastAsia="zh-CN" w:bidi="hi-IN"/>
        </w:rPr>
        <w:t>kilo</w:t>
      </w:r>
      <w:r w:rsidR="00AA6DCE" w:rsidRPr="003E7ECF">
        <w:rPr>
          <w:rFonts w:eastAsia="SimSun" w:cs="Mangal"/>
          <w:kern w:val="1"/>
          <w:sz w:val="24"/>
          <w:szCs w:val="24"/>
          <w:lang w:val="cs-CZ" w:eastAsia="zh-CN" w:bidi="hi-IN"/>
        </w:rPr>
        <w:t>meetri k</w:t>
      </w:r>
      <w:r w:rsidR="00DA00BF" w:rsidRPr="003E7ECF">
        <w:rPr>
          <w:rFonts w:eastAsia="SimSun" w:cs="Mangal"/>
          <w:kern w:val="1"/>
          <w:sz w:val="24"/>
          <w:szCs w:val="24"/>
          <w:lang w:val="cs-CZ" w:eastAsia="zh-CN" w:bidi="hi-IN"/>
        </w:rPr>
        <w:t>augusel lõunas</w:t>
      </w:r>
      <w:r w:rsidR="00AA6DCE" w:rsidRPr="003E7ECF">
        <w:rPr>
          <w:rFonts w:eastAsia="SimSun" w:cs="Mangal"/>
          <w:kern w:val="1"/>
          <w:sz w:val="24"/>
          <w:szCs w:val="24"/>
          <w:lang w:val="cs-CZ" w:eastAsia="zh-CN" w:bidi="hi-IN"/>
        </w:rPr>
        <w:t>.</w:t>
      </w:r>
      <w:r w:rsidRPr="003E7ECF">
        <w:rPr>
          <w:rFonts w:eastAsia="SimSun" w:cs="Mangal"/>
          <w:kern w:val="1"/>
          <w:sz w:val="24"/>
          <w:szCs w:val="24"/>
          <w:lang w:val="cs-CZ" w:eastAsia="zh-CN" w:bidi="hi-IN"/>
        </w:rPr>
        <w:t xml:space="preserve"> </w:t>
      </w:r>
      <w:r w:rsidR="003E7ECF" w:rsidRPr="003E7ECF">
        <w:rPr>
          <w:rFonts w:eastAsia="SimSun" w:cs="Mangal"/>
          <w:kern w:val="1"/>
          <w:sz w:val="24"/>
          <w:szCs w:val="24"/>
          <w:lang w:val="cs-CZ" w:eastAsia="zh-CN" w:bidi="hi-IN"/>
        </w:rPr>
        <w:t xml:space="preserve">Kuna planeeritav ala ei asu nimetatud objekti kaitsevööndis ega </w:t>
      </w:r>
      <w:r w:rsidR="00DD0AAC">
        <w:rPr>
          <w:rFonts w:eastAsia="SimSun" w:cs="Mangal"/>
          <w:kern w:val="1"/>
          <w:sz w:val="24"/>
          <w:szCs w:val="24"/>
          <w:lang w:val="cs-CZ" w:eastAsia="zh-CN" w:bidi="hi-IN"/>
        </w:rPr>
        <w:t>selle</w:t>
      </w:r>
      <w:r w:rsidR="003E7ECF" w:rsidRPr="003E7ECF">
        <w:rPr>
          <w:rFonts w:eastAsia="SimSun" w:cs="Mangal"/>
          <w:kern w:val="1"/>
          <w:sz w:val="24"/>
          <w:szCs w:val="24"/>
          <w:lang w:val="cs-CZ" w:eastAsia="zh-CN" w:bidi="hi-IN"/>
        </w:rPr>
        <w:t xml:space="preserve"> vahetus läheduses, siis eeldatavalt negatiivne mõju kaitsealusele objektidele puudub. </w:t>
      </w:r>
    </w:p>
    <w:p w:rsidR="00716B11" w:rsidRPr="003E7ECF" w:rsidRDefault="00716B11" w:rsidP="00FC6E7B">
      <w:pPr>
        <w:autoSpaceDE w:val="0"/>
        <w:autoSpaceDN w:val="0"/>
        <w:adjustRightInd w:val="0"/>
        <w:jc w:val="both"/>
        <w:rPr>
          <w:rFonts w:eastAsia="SimSun" w:cs="Mangal"/>
          <w:kern w:val="1"/>
          <w:sz w:val="24"/>
          <w:szCs w:val="24"/>
          <w:lang w:val="cs-CZ" w:eastAsia="zh-CN" w:bidi="hi-IN"/>
        </w:rPr>
      </w:pPr>
    </w:p>
    <w:p w:rsidR="00456F4D" w:rsidRDefault="00340B6C" w:rsidP="00D310D9">
      <w:pPr>
        <w:autoSpaceDE w:val="0"/>
        <w:autoSpaceDN w:val="0"/>
        <w:adjustRightInd w:val="0"/>
        <w:jc w:val="both"/>
        <w:rPr>
          <w:sz w:val="24"/>
          <w:szCs w:val="24"/>
        </w:rPr>
      </w:pPr>
      <w:r w:rsidRPr="00C651CE">
        <w:rPr>
          <w:rFonts w:eastAsia="SimSun" w:cs="Mangal"/>
          <w:kern w:val="1"/>
          <w:sz w:val="24"/>
          <w:szCs w:val="24"/>
          <w:lang w:val="cs-CZ" w:eastAsia="zh-CN" w:bidi="hi-IN"/>
        </w:rPr>
        <w:t xml:space="preserve">Ajaloolised, kultuuriloolised ning arheoloogilised väärtused </w:t>
      </w:r>
      <w:r>
        <w:rPr>
          <w:rFonts w:eastAsia="SimSun" w:cs="Mangal"/>
          <w:kern w:val="1"/>
          <w:sz w:val="24"/>
          <w:szCs w:val="24"/>
          <w:lang w:val="cs-CZ" w:eastAsia="zh-CN" w:bidi="hi-IN"/>
        </w:rPr>
        <w:t>DP</w:t>
      </w:r>
      <w:r w:rsidRPr="00C651CE">
        <w:rPr>
          <w:rFonts w:eastAsia="SimSun" w:cs="Mangal"/>
          <w:kern w:val="1"/>
          <w:sz w:val="24"/>
          <w:szCs w:val="24"/>
          <w:lang w:val="cs-CZ" w:eastAsia="zh-CN" w:bidi="hi-IN"/>
        </w:rPr>
        <w:t xml:space="preserve"> alal teadaolevalt puuduvad, seega võimalik negatiivne mõju nimetatud väärtustele puudub.</w:t>
      </w:r>
      <w:r>
        <w:rPr>
          <w:rFonts w:eastAsia="SimSun" w:cs="Mangal"/>
          <w:kern w:val="1"/>
          <w:sz w:val="24"/>
          <w:szCs w:val="24"/>
          <w:lang w:val="cs-CZ" w:eastAsia="zh-CN" w:bidi="hi-IN"/>
        </w:rPr>
        <w:t xml:space="preserve"> </w:t>
      </w:r>
      <w:r w:rsidR="008A2A8C">
        <w:rPr>
          <w:sz w:val="24"/>
          <w:szCs w:val="24"/>
        </w:rPr>
        <w:t xml:space="preserve">Üksikelamu ja kõrvalhoonete ehitamine </w:t>
      </w:r>
      <w:r w:rsidR="00716B11" w:rsidRPr="009E0682">
        <w:rPr>
          <w:sz w:val="24"/>
          <w:szCs w:val="24"/>
        </w:rPr>
        <w:t>ei k</w:t>
      </w:r>
      <w:r>
        <w:rPr>
          <w:sz w:val="24"/>
          <w:szCs w:val="24"/>
        </w:rPr>
        <w:t>ahjusta inimes</w:t>
      </w:r>
      <w:r w:rsidR="008C3E9C">
        <w:rPr>
          <w:sz w:val="24"/>
          <w:szCs w:val="24"/>
        </w:rPr>
        <w:t>t</w:t>
      </w:r>
      <w:r>
        <w:rPr>
          <w:sz w:val="24"/>
          <w:szCs w:val="24"/>
        </w:rPr>
        <w:t>e tervist, heaolu ja</w:t>
      </w:r>
      <w:r w:rsidR="00716B11" w:rsidRPr="009E0682">
        <w:rPr>
          <w:sz w:val="24"/>
          <w:szCs w:val="24"/>
        </w:rPr>
        <w:t xml:space="preserve"> vara</w:t>
      </w:r>
      <w:r w:rsidR="00716B11" w:rsidRPr="00EE1A66">
        <w:rPr>
          <w:sz w:val="24"/>
          <w:szCs w:val="24"/>
        </w:rPr>
        <w:t xml:space="preserve">. </w:t>
      </w:r>
    </w:p>
    <w:p w:rsidR="00456F4D" w:rsidRDefault="00456F4D" w:rsidP="00D310D9">
      <w:pPr>
        <w:autoSpaceDE w:val="0"/>
        <w:autoSpaceDN w:val="0"/>
        <w:adjustRightInd w:val="0"/>
        <w:jc w:val="both"/>
        <w:rPr>
          <w:sz w:val="24"/>
          <w:szCs w:val="24"/>
        </w:rPr>
      </w:pPr>
    </w:p>
    <w:p w:rsidR="00456F4D" w:rsidRDefault="00716B11" w:rsidP="00D310D9">
      <w:pPr>
        <w:autoSpaceDE w:val="0"/>
        <w:autoSpaceDN w:val="0"/>
        <w:adjustRightInd w:val="0"/>
        <w:jc w:val="both"/>
        <w:rPr>
          <w:sz w:val="24"/>
          <w:szCs w:val="24"/>
        </w:rPr>
      </w:pPr>
      <w:r w:rsidRPr="00EE1A66">
        <w:rPr>
          <w:sz w:val="24"/>
          <w:szCs w:val="24"/>
        </w:rPr>
        <w:t>D</w:t>
      </w:r>
      <w:r w:rsidR="00340B6C">
        <w:rPr>
          <w:sz w:val="24"/>
          <w:szCs w:val="24"/>
        </w:rPr>
        <w:t>P</w:t>
      </w:r>
      <w:r w:rsidRPr="00EE1A66">
        <w:rPr>
          <w:sz w:val="24"/>
          <w:szCs w:val="24"/>
        </w:rPr>
        <w:t xml:space="preserve"> alal ja selle lähiümbruses ei ole tuvastatud keskkonda saastavaid objekte ega jääkreostust ning alal ei ole varasemalt toimunud keskkonnaohtlikku tegevust. </w:t>
      </w:r>
      <w:r w:rsidR="000A673A" w:rsidRPr="00427C5B">
        <w:rPr>
          <w:sz w:val="24"/>
          <w:szCs w:val="24"/>
        </w:rPr>
        <w:t>Planeeringuga kaasnevad mõjud ei põhjusta keskkonnas olulisi pöördumatuid muudatusi ega ületa eeldatavalt piirkonna keskkonnataluvust.</w:t>
      </w:r>
      <w:r w:rsidR="003E7ECF" w:rsidRPr="003E7ECF">
        <w:rPr>
          <w:sz w:val="24"/>
          <w:szCs w:val="24"/>
        </w:rPr>
        <w:t xml:space="preserve"> Territooriumit</w:t>
      </w:r>
      <w:r w:rsidR="003E7ECF" w:rsidRPr="00C651CE">
        <w:rPr>
          <w:rFonts w:eastAsia="SimSun" w:cs="Mangal"/>
          <w:kern w:val="1"/>
          <w:sz w:val="24"/>
          <w:szCs w:val="24"/>
          <w:lang w:eastAsia="zh-CN" w:bidi="hi-IN"/>
        </w:rPr>
        <w:t xml:space="preserve"> ei kasutata maavara kaevandamiseks.</w:t>
      </w:r>
    </w:p>
    <w:p w:rsidR="00456F4D" w:rsidRDefault="00456F4D" w:rsidP="00D310D9">
      <w:pPr>
        <w:autoSpaceDE w:val="0"/>
        <w:autoSpaceDN w:val="0"/>
        <w:adjustRightInd w:val="0"/>
        <w:jc w:val="both"/>
        <w:rPr>
          <w:sz w:val="24"/>
          <w:szCs w:val="24"/>
        </w:rPr>
      </w:pPr>
    </w:p>
    <w:p w:rsidR="00716B11" w:rsidRDefault="008A2A8C" w:rsidP="00D310D9">
      <w:pPr>
        <w:autoSpaceDE w:val="0"/>
        <w:autoSpaceDN w:val="0"/>
        <w:adjustRightInd w:val="0"/>
        <w:jc w:val="both"/>
        <w:rPr>
          <w:sz w:val="24"/>
          <w:szCs w:val="24"/>
        </w:rPr>
      </w:pPr>
      <w:r>
        <w:rPr>
          <w:sz w:val="24"/>
          <w:szCs w:val="24"/>
        </w:rPr>
        <w:t>Üksikelamu ja kõrvalhoonete ehitamine</w:t>
      </w:r>
      <w:r w:rsidR="00716B11" w:rsidRPr="00D310D9">
        <w:rPr>
          <w:sz w:val="24"/>
          <w:szCs w:val="24"/>
        </w:rPr>
        <w:t xml:space="preserve"> ei ole jäätme- ega energiamahukas ja sellega</w:t>
      </w:r>
      <w:r w:rsidR="00716B11">
        <w:rPr>
          <w:sz w:val="24"/>
          <w:szCs w:val="24"/>
        </w:rPr>
        <w:t xml:space="preserve"> </w:t>
      </w:r>
      <w:r w:rsidR="00716B11" w:rsidRPr="00D310D9">
        <w:rPr>
          <w:sz w:val="24"/>
          <w:szCs w:val="24"/>
        </w:rPr>
        <w:t>ei kaasne loodusvarade ka</w:t>
      </w:r>
      <w:r w:rsidR="00450D2F">
        <w:rPr>
          <w:sz w:val="24"/>
          <w:szCs w:val="24"/>
        </w:rPr>
        <w:t>sutamist</w:t>
      </w:r>
      <w:r w:rsidR="000E5752">
        <w:rPr>
          <w:sz w:val="24"/>
          <w:szCs w:val="24"/>
        </w:rPr>
        <w:t xml:space="preserve">. </w:t>
      </w:r>
      <w:r w:rsidR="00C71F68">
        <w:rPr>
          <w:rFonts w:ascii="Times-Roman" w:hAnsi="Times-Roman" w:cs="Times-Roman"/>
          <w:sz w:val="24"/>
          <w:szCs w:val="24"/>
          <w:lang w:eastAsia="et-EE"/>
        </w:rPr>
        <w:t xml:space="preserve">Olemasoleva informatsiooni põhjal ei kaasne </w:t>
      </w:r>
      <w:r w:rsidR="00716B11" w:rsidRPr="00D310D9">
        <w:rPr>
          <w:sz w:val="24"/>
          <w:szCs w:val="24"/>
        </w:rPr>
        <w:t xml:space="preserve">vee-, pinnase- ja </w:t>
      </w:r>
      <w:r w:rsidR="00716B11" w:rsidRPr="00D310D9">
        <w:rPr>
          <w:sz w:val="24"/>
          <w:szCs w:val="24"/>
        </w:rPr>
        <w:lastRenderedPageBreak/>
        <w:t>õhusaastust ning müra-</w:t>
      </w:r>
      <w:r w:rsidR="004667FF">
        <w:rPr>
          <w:sz w:val="24"/>
          <w:szCs w:val="24"/>
        </w:rPr>
        <w:t>,</w:t>
      </w:r>
      <w:r w:rsidR="00716B11" w:rsidRPr="00D310D9">
        <w:rPr>
          <w:sz w:val="24"/>
          <w:szCs w:val="24"/>
        </w:rPr>
        <w:t xml:space="preserve"> vibratsiooni-, soojus-, kiirgus-, lõhna- ja</w:t>
      </w:r>
      <w:r w:rsidR="00716B11">
        <w:rPr>
          <w:sz w:val="24"/>
          <w:szCs w:val="24"/>
        </w:rPr>
        <w:t xml:space="preserve"> </w:t>
      </w:r>
      <w:r w:rsidR="00716B11" w:rsidRPr="00D310D9">
        <w:rPr>
          <w:sz w:val="24"/>
          <w:szCs w:val="24"/>
        </w:rPr>
        <w:t>valgusreostust</w:t>
      </w:r>
      <w:r w:rsidR="000332C8">
        <w:rPr>
          <w:sz w:val="24"/>
          <w:szCs w:val="24"/>
        </w:rPr>
        <w:t>, sest reostuse tekitajad puuduvad</w:t>
      </w:r>
      <w:r w:rsidR="00716B11" w:rsidRPr="00D310D9">
        <w:rPr>
          <w:sz w:val="24"/>
          <w:szCs w:val="24"/>
        </w:rPr>
        <w:t>. Ei suurene olulisel määral jäätmeteke.</w:t>
      </w:r>
      <w:r w:rsidR="00716B11">
        <w:rPr>
          <w:sz w:val="24"/>
          <w:szCs w:val="24"/>
        </w:rPr>
        <w:t xml:space="preserve"> </w:t>
      </w:r>
      <w:r w:rsidR="00716B11" w:rsidRPr="009F21AB">
        <w:rPr>
          <w:sz w:val="24"/>
          <w:szCs w:val="24"/>
        </w:rPr>
        <w:t>Tekkivad jäätmed, nii ehituslikud, kui ka olmejäätmed käideldakse vastavalt Kohila valla jäätmekäitluskavale.</w:t>
      </w:r>
      <w:r w:rsidR="001A46A0">
        <w:rPr>
          <w:sz w:val="24"/>
          <w:szCs w:val="24"/>
        </w:rPr>
        <w:t xml:space="preserve"> Planeeringuala veevarustus</w:t>
      </w:r>
      <w:r w:rsidR="003F1207">
        <w:rPr>
          <w:sz w:val="24"/>
          <w:szCs w:val="24"/>
        </w:rPr>
        <w:t xml:space="preserve"> ja kanalisatsioon </w:t>
      </w:r>
      <w:r w:rsidR="002E4D0C">
        <w:rPr>
          <w:sz w:val="24"/>
          <w:szCs w:val="24"/>
        </w:rPr>
        <w:t xml:space="preserve">lahendatakse </w:t>
      </w:r>
      <w:r w:rsidR="001A46A0">
        <w:rPr>
          <w:sz w:val="24"/>
          <w:szCs w:val="24"/>
        </w:rPr>
        <w:t>lokaalsete süsteemidega</w:t>
      </w:r>
      <w:r w:rsidR="002E4D0C">
        <w:rPr>
          <w:sz w:val="24"/>
          <w:szCs w:val="24"/>
        </w:rPr>
        <w:t>.</w:t>
      </w:r>
      <w:r w:rsidR="00F6122D">
        <w:rPr>
          <w:sz w:val="24"/>
          <w:szCs w:val="24"/>
        </w:rPr>
        <w:t xml:space="preserve"> </w:t>
      </w:r>
      <w:r w:rsidR="00F6122D" w:rsidRPr="00F6122D">
        <w:rPr>
          <w:sz w:val="24"/>
          <w:szCs w:val="24"/>
        </w:rPr>
        <w:t>Põhjavee reostuse ohu vältimiseks tuleb kanalisatsioonisüsteemide rajamisel arvestada asjaoluga, et planeeringusse haaratud piirkond asub osaliselt kaitsmata põhjaveega alal ning osaliselt nõrgalt kaitstud põhjaveega alal.</w:t>
      </w:r>
    </w:p>
    <w:p w:rsidR="00716B11" w:rsidRPr="00EE1A66" w:rsidRDefault="00716B11" w:rsidP="00CE28F0">
      <w:pPr>
        <w:jc w:val="both"/>
        <w:rPr>
          <w:sz w:val="24"/>
          <w:szCs w:val="24"/>
        </w:rPr>
      </w:pPr>
    </w:p>
    <w:p w:rsidR="001A46A0" w:rsidRDefault="00716B11" w:rsidP="000332C8">
      <w:pPr>
        <w:jc w:val="both"/>
        <w:rPr>
          <w:sz w:val="24"/>
          <w:szCs w:val="24"/>
        </w:rPr>
      </w:pPr>
      <w:r w:rsidRPr="00EE1A66">
        <w:rPr>
          <w:sz w:val="24"/>
          <w:szCs w:val="24"/>
        </w:rPr>
        <w:t>K</w:t>
      </w:r>
      <w:r w:rsidR="00943622">
        <w:rPr>
          <w:sz w:val="24"/>
          <w:szCs w:val="24"/>
        </w:rPr>
        <w:t>äsitletaval</w:t>
      </w:r>
      <w:r w:rsidRPr="00EE1A66">
        <w:rPr>
          <w:sz w:val="24"/>
          <w:szCs w:val="24"/>
        </w:rPr>
        <w:t xml:space="preserve"> alal asuva kinnistu maakasutuse sihtotstarve ei põhjusta olulist</w:t>
      </w:r>
      <w:r w:rsidR="00F7252F">
        <w:rPr>
          <w:sz w:val="24"/>
          <w:szCs w:val="24"/>
        </w:rPr>
        <w:t xml:space="preserve"> negatiivset ruumilist mõju, </w:t>
      </w:r>
      <w:r w:rsidR="00450D2F">
        <w:rPr>
          <w:sz w:val="24"/>
          <w:szCs w:val="24"/>
        </w:rPr>
        <w:t>kui</w:t>
      </w:r>
      <w:r w:rsidRPr="00EE1A66">
        <w:rPr>
          <w:sz w:val="24"/>
          <w:szCs w:val="24"/>
        </w:rPr>
        <w:t xml:space="preserve"> ehitiste projekteerimisel, ehitamisel ja kasutamisel </w:t>
      </w:r>
      <w:r w:rsidR="00450D2F">
        <w:rPr>
          <w:sz w:val="24"/>
          <w:szCs w:val="24"/>
        </w:rPr>
        <w:t>jär</w:t>
      </w:r>
      <w:r w:rsidR="00F7252F">
        <w:rPr>
          <w:sz w:val="24"/>
          <w:szCs w:val="24"/>
        </w:rPr>
        <w:t xml:space="preserve">gitakse </w:t>
      </w:r>
      <w:r w:rsidRPr="00EE1A66">
        <w:rPr>
          <w:sz w:val="24"/>
          <w:szCs w:val="24"/>
        </w:rPr>
        <w:t>seadustega kehtestatud nõudeid.</w:t>
      </w:r>
      <w:r w:rsidR="000332C8">
        <w:rPr>
          <w:sz w:val="24"/>
          <w:szCs w:val="24"/>
        </w:rPr>
        <w:t xml:space="preserve"> </w:t>
      </w:r>
    </w:p>
    <w:p w:rsidR="001A46A0" w:rsidRDefault="001A46A0" w:rsidP="000332C8">
      <w:pPr>
        <w:jc w:val="both"/>
        <w:rPr>
          <w:sz w:val="24"/>
          <w:szCs w:val="24"/>
        </w:rPr>
      </w:pPr>
    </w:p>
    <w:p w:rsidR="001A46A0" w:rsidRDefault="001A46A0" w:rsidP="000332C8">
      <w:pPr>
        <w:jc w:val="both"/>
        <w:rPr>
          <w:sz w:val="24"/>
          <w:szCs w:val="24"/>
        </w:rPr>
      </w:pPr>
      <w:r w:rsidRPr="00427C5B">
        <w:rPr>
          <w:sz w:val="24"/>
          <w:szCs w:val="24"/>
        </w:rPr>
        <w:t xml:space="preserve">Piiriülest (sh riigipiiriülest) ning kumulatiivset mõju ette näha ei ole. Ehitustegevus </w:t>
      </w:r>
      <w:r>
        <w:rPr>
          <w:sz w:val="24"/>
          <w:szCs w:val="24"/>
        </w:rPr>
        <w:t>toimub pl</w:t>
      </w:r>
      <w:r w:rsidRPr="00427C5B">
        <w:rPr>
          <w:sz w:val="24"/>
          <w:szCs w:val="24"/>
        </w:rPr>
        <w:t>aneeringu alal</w:t>
      </w:r>
      <w:r>
        <w:rPr>
          <w:sz w:val="24"/>
          <w:szCs w:val="24"/>
        </w:rPr>
        <w:t xml:space="preserve"> eeldatavalt</w:t>
      </w:r>
      <w:r w:rsidRPr="00427C5B">
        <w:rPr>
          <w:sz w:val="24"/>
          <w:szCs w:val="24"/>
        </w:rPr>
        <w:t xml:space="preserve"> </w:t>
      </w:r>
      <w:r>
        <w:rPr>
          <w:sz w:val="24"/>
          <w:szCs w:val="24"/>
        </w:rPr>
        <w:t>lühiajaliselt</w:t>
      </w:r>
      <w:r w:rsidRPr="00427C5B">
        <w:rPr>
          <w:sz w:val="24"/>
          <w:szCs w:val="24"/>
        </w:rPr>
        <w:t xml:space="preserve">, mistõttu sellega kaasnev mõju on </w:t>
      </w:r>
      <w:r>
        <w:rPr>
          <w:sz w:val="24"/>
          <w:szCs w:val="24"/>
        </w:rPr>
        <w:t>ühekordne.</w:t>
      </w:r>
      <w:r w:rsidR="004654DC">
        <w:rPr>
          <w:sz w:val="24"/>
          <w:szCs w:val="24"/>
        </w:rPr>
        <w:t xml:space="preserve"> M</w:t>
      </w:r>
      <w:r w:rsidR="004654DC" w:rsidRPr="004654DC">
        <w:rPr>
          <w:sz w:val="24"/>
          <w:szCs w:val="24"/>
        </w:rPr>
        <w:t>õju ulatus piirneb eeldatavasti lähimate kinnistutega.</w:t>
      </w:r>
    </w:p>
    <w:p w:rsidR="008C3E9C" w:rsidRDefault="008C3E9C" w:rsidP="000332C8">
      <w:pPr>
        <w:jc w:val="both"/>
        <w:rPr>
          <w:sz w:val="24"/>
          <w:szCs w:val="24"/>
        </w:rPr>
      </w:pPr>
    </w:p>
    <w:p w:rsidR="00C71F68" w:rsidRDefault="00C71F68" w:rsidP="00C71F68">
      <w:pPr>
        <w:jc w:val="both"/>
        <w:rPr>
          <w:sz w:val="24"/>
          <w:szCs w:val="24"/>
        </w:rPr>
      </w:pPr>
      <w:r w:rsidRPr="00C71F68">
        <w:rPr>
          <w:sz w:val="24"/>
          <w:szCs w:val="24"/>
        </w:rPr>
        <w:t>Matsomardi maaüksuse detailplaneering ei mõjuta eeldatavalt Euroopa Liidu õigusaktidega seonduvat, sest planeeritava tegevuse mõju on niivõrd minimaalne.</w:t>
      </w:r>
    </w:p>
    <w:p w:rsidR="00F37741" w:rsidRDefault="00F37741" w:rsidP="00F37741">
      <w:pPr>
        <w:jc w:val="both"/>
        <w:rPr>
          <w:sz w:val="24"/>
          <w:szCs w:val="24"/>
        </w:rPr>
      </w:pPr>
    </w:p>
    <w:p w:rsidR="00C71F68" w:rsidRPr="00C71F68" w:rsidRDefault="00C71F68" w:rsidP="00C71F68">
      <w:pPr>
        <w:jc w:val="both"/>
        <w:rPr>
          <w:sz w:val="24"/>
          <w:szCs w:val="24"/>
        </w:rPr>
      </w:pPr>
      <w:r w:rsidRPr="00C71F68">
        <w:rPr>
          <w:sz w:val="24"/>
          <w:szCs w:val="24"/>
        </w:rPr>
        <w:t>Detailplaneeringuga kavandatu elluviimisel on oht peamiselt selliste avariiolukordade</w:t>
      </w:r>
      <w:r>
        <w:rPr>
          <w:sz w:val="24"/>
          <w:szCs w:val="24"/>
        </w:rPr>
        <w:t xml:space="preserve">  </w:t>
      </w:r>
      <w:r w:rsidRPr="00C71F68">
        <w:rPr>
          <w:sz w:val="24"/>
          <w:szCs w:val="24"/>
        </w:rPr>
        <w:t>esinemiseks, mille tulemusena võib reostuda näiteks pinnas, põhjavesi, õhk. Võimalike</w:t>
      </w:r>
      <w:r>
        <w:rPr>
          <w:sz w:val="24"/>
          <w:szCs w:val="24"/>
        </w:rPr>
        <w:t xml:space="preserve"> </w:t>
      </w:r>
      <w:r w:rsidRPr="00C71F68">
        <w:rPr>
          <w:sz w:val="24"/>
          <w:szCs w:val="24"/>
        </w:rPr>
        <w:t>avariiolukordade esinemise võimalikkuse vähendamiseks tuleb planeeringu käigus ette näha</w:t>
      </w:r>
      <w:r>
        <w:rPr>
          <w:sz w:val="24"/>
          <w:szCs w:val="24"/>
        </w:rPr>
        <w:t xml:space="preserve"> </w:t>
      </w:r>
      <w:r w:rsidRPr="00C71F68">
        <w:rPr>
          <w:sz w:val="24"/>
          <w:szCs w:val="24"/>
        </w:rPr>
        <w:t>vastavad ennetavad meetmed. Detailplaneeringu läheduses ei asu suure keskkonnariskiga</w:t>
      </w:r>
      <w:r>
        <w:rPr>
          <w:sz w:val="24"/>
          <w:szCs w:val="24"/>
        </w:rPr>
        <w:t xml:space="preserve"> </w:t>
      </w:r>
      <w:r w:rsidRPr="00C71F68">
        <w:rPr>
          <w:sz w:val="24"/>
          <w:szCs w:val="24"/>
        </w:rPr>
        <w:t>ettevõtteid, mis planeeritavat ala oluliselt mõjutada võiks.</w:t>
      </w:r>
    </w:p>
    <w:p w:rsidR="00C71F68" w:rsidRDefault="00C71F68" w:rsidP="00C71F68">
      <w:pPr>
        <w:jc w:val="both"/>
        <w:rPr>
          <w:sz w:val="24"/>
          <w:szCs w:val="24"/>
        </w:rPr>
      </w:pPr>
    </w:p>
    <w:p w:rsidR="00F37741" w:rsidRDefault="00F37741" w:rsidP="00F37741">
      <w:pPr>
        <w:jc w:val="both"/>
        <w:rPr>
          <w:sz w:val="24"/>
          <w:szCs w:val="24"/>
        </w:rPr>
      </w:pPr>
      <w:r w:rsidRPr="00EE1A66">
        <w:rPr>
          <w:sz w:val="24"/>
          <w:szCs w:val="24"/>
        </w:rPr>
        <w:t xml:space="preserve">Lähtudes planeeringuala ja selle lähiümbruse keskkonnatingimustest ja maakasutusest, ei </w:t>
      </w:r>
      <w:r>
        <w:rPr>
          <w:sz w:val="24"/>
          <w:szCs w:val="24"/>
        </w:rPr>
        <w:t xml:space="preserve">põhjusta </w:t>
      </w:r>
      <w:r w:rsidR="00E73A02">
        <w:rPr>
          <w:sz w:val="24"/>
          <w:szCs w:val="24"/>
        </w:rPr>
        <w:t>üksikelamu ja kõrvalhoonete ehitamine</w:t>
      </w:r>
      <w:r w:rsidRPr="00EE1A66">
        <w:rPr>
          <w:sz w:val="24"/>
          <w:szCs w:val="24"/>
        </w:rPr>
        <w:t xml:space="preserve"> </w:t>
      </w:r>
      <w:r>
        <w:rPr>
          <w:sz w:val="24"/>
          <w:szCs w:val="24"/>
        </w:rPr>
        <w:t>ja</w:t>
      </w:r>
      <w:r w:rsidRPr="00EE1A66">
        <w:rPr>
          <w:sz w:val="24"/>
          <w:szCs w:val="24"/>
        </w:rPr>
        <w:t xml:space="preserve"> </w:t>
      </w:r>
      <w:r>
        <w:rPr>
          <w:sz w:val="24"/>
          <w:szCs w:val="24"/>
        </w:rPr>
        <w:t xml:space="preserve">selle </w:t>
      </w:r>
      <w:r w:rsidRPr="00EE1A66">
        <w:rPr>
          <w:sz w:val="24"/>
          <w:szCs w:val="24"/>
        </w:rPr>
        <w:t>sihtotstarbeline kasutamine antud asukohas eeldatavalt olulist negatiivset keskkonnamõju. Tegevusega kaasnevad võimalikud mõjud on eeldatavalt väikesed, nende ulatus piirneb planeeringualaga. Avariiolukordade esi</w:t>
      </w:r>
      <w:r>
        <w:rPr>
          <w:sz w:val="24"/>
          <w:szCs w:val="24"/>
        </w:rPr>
        <w:t>nemise tõenäosus on väike</w:t>
      </w:r>
      <w:r w:rsidRPr="00EE1A66">
        <w:rPr>
          <w:sz w:val="24"/>
          <w:szCs w:val="24"/>
        </w:rPr>
        <w:t xml:space="preserve"> kui </w:t>
      </w:r>
      <w:r>
        <w:rPr>
          <w:sz w:val="24"/>
          <w:szCs w:val="24"/>
        </w:rPr>
        <w:t>DP</w:t>
      </w:r>
      <w:r w:rsidRPr="00EE1A66">
        <w:rPr>
          <w:sz w:val="24"/>
          <w:szCs w:val="24"/>
        </w:rPr>
        <w:t xml:space="preserve"> elluviimisel järgitakse </w:t>
      </w:r>
      <w:r>
        <w:rPr>
          <w:sz w:val="24"/>
          <w:szCs w:val="24"/>
        </w:rPr>
        <w:t>DP-ga</w:t>
      </w:r>
      <w:r w:rsidRPr="00EE1A66">
        <w:rPr>
          <w:sz w:val="24"/>
          <w:szCs w:val="24"/>
        </w:rPr>
        <w:t xml:space="preserve"> esitatud tingimusi ja õigusaktidega kehtestatud nõudeid.</w:t>
      </w:r>
    </w:p>
    <w:p w:rsidR="001A46A0" w:rsidRPr="00C651CE" w:rsidRDefault="001A46A0" w:rsidP="000332C8">
      <w:pPr>
        <w:jc w:val="both"/>
        <w:rPr>
          <w:rFonts w:eastAsia="SimSun" w:cs="Mangal"/>
          <w:kern w:val="1"/>
          <w:sz w:val="24"/>
          <w:szCs w:val="24"/>
          <w:lang w:val="cs-CZ" w:eastAsia="zh-CN" w:bidi="hi-IN"/>
        </w:rPr>
      </w:pPr>
    </w:p>
    <w:p w:rsidR="00716B11" w:rsidRPr="00EE1A66" w:rsidRDefault="00716B11" w:rsidP="00CE28F0">
      <w:pPr>
        <w:jc w:val="both"/>
        <w:rPr>
          <w:sz w:val="24"/>
          <w:szCs w:val="24"/>
        </w:rPr>
      </w:pPr>
      <w:r w:rsidRPr="00EE1A66">
        <w:rPr>
          <w:sz w:val="24"/>
          <w:szCs w:val="24"/>
        </w:rPr>
        <w:t xml:space="preserve">Kui </w:t>
      </w:r>
      <w:r w:rsidR="000332C8">
        <w:rPr>
          <w:sz w:val="24"/>
          <w:szCs w:val="24"/>
        </w:rPr>
        <w:t>DP</w:t>
      </w:r>
      <w:r w:rsidRPr="00EE1A66">
        <w:rPr>
          <w:sz w:val="24"/>
          <w:szCs w:val="24"/>
        </w:rPr>
        <w:t xml:space="preserve"> menetl</w:t>
      </w:r>
      <w:r w:rsidR="00F7252F">
        <w:rPr>
          <w:sz w:val="24"/>
          <w:szCs w:val="24"/>
        </w:rPr>
        <w:t>emise käigus selgub täiendavaid</w:t>
      </w:r>
      <w:r w:rsidRPr="00EE1A66">
        <w:rPr>
          <w:sz w:val="24"/>
          <w:szCs w:val="24"/>
        </w:rPr>
        <w:t xml:space="preserve"> olulisi asjaolusid või fakte, on vallavalitsusel õigus algatada KSH menetlus. Vallavalitsusel on õigus nõuda sõltuvalt ehitiste kasutuse otstarbest keskkonnamõju hindamist (KMH) tegevuslubade (sh ehituslubade) taotlemisel.</w:t>
      </w:r>
    </w:p>
    <w:p w:rsidR="00716B11" w:rsidRPr="00EE1A66" w:rsidRDefault="00716B11" w:rsidP="00CE28F0">
      <w:pPr>
        <w:jc w:val="both"/>
        <w:rPr>
          <w:sz w:val="24"/>
          <w:szCs w:val="24"/>
        </w:rPr>
      </w:pPr>
    </w:p>
    <w:p w:rsidR="00716B11" w:rsidRDefault="00716B11" w:rsidP="00CE28F0">
      <w:pPr>
        <w:jc w:val="both"/>
        <w:rPr>
          <w:sz w:val="24"/>
          <w:szCs w:val="24"/>
        </w:rPr>
      </w:pPr>
      <w:r w:rsidRPr="00C967A7">
        <w:rPr>
          <w:sz w:val="24"/>
          <w:szCs w:val="24"/>
        </w:rPr>
        <w:t xml:space="preserve">Eeltoodu alusel teeme ettepaneku jätta </w:t>
      </w:r>
      <w:r w:rsidR="0060453A">
        <w:rPr>
          <w:sz w:val="24"/>
          <w:szCs w:val="24"/>
        </w:rPr>
        <w:t>Matsomardi</w:t>
      </w:r>
      <w:r w:rsidRPr="00C967A7">
        <w:rPr>
          <w:sz w:val="24"/>
          <w:szCs w:val="24"/>
        </w:rPr>
        <w:t xml:space="preserve"> kinnistu </w:t>
      </w:r>
      <w:r w:rsidR="006B6E99">
        <w:rPr>
          <w:sz w:val="24"/>
          <w:szCs w:val="24"/>
        </w:rPr>
        <w:t>DP</w:t>
      </w:r>
      <w:r w:rsidRPr="00C967A7">
        <w:rPr>
          <w:sz w:val="24"/>
          <w:szCs w:val="24"/>
        </w:rPr>
        <w:t xml:space="preserve"> juurde keskkonnamõju strateegiline hindamine algatamata</w:t>
      </w:r>
      <w:r>
        <w:rPr>
          <w:sz w:val="24"/>
          <w:szCs w:val="24"/>
        </w:rPr>
        <w:t xml:space="preserve">. Eeldav oluline keskkonnamõju vallavalitsuse tuvastatult puudub. Käesolevaga ei kaasne eeldatavalt olulisi kahjulikke tagajärgi nagu vee, pinnase või õhusaastatus, jäätmeteke, müra, vibratsioon, valgus, soojus, kiirgus ja lõhn, sest tegevuse iseloom ei eelda seda. Samuti ei avalda detailplaneeringu tegevus olulist negatiivset mõju tegevuse ala ja selle lähiümbruse keskkonnatingimustele, sest otseselt keskkonnatingimusi ja loodusvarasid ei kahjustata. Vallavalitsuse kindlakstehtult ei leidu asjaolusid, millest võiks järeldada, et esineks mõni </w:t>
      </w:r>
      <w:r w:rsidRPr="00EE1A66">
        <w:rPr>
          <w:sz w:val="24"/>
          <w:szCs w:val="24"/>
        </w:rPr>
        <w:t>KeHJS § 6 lg</w:t>
      </w:r>
      <w:r>
        <w:rPr>
          <w:sz w:val="24"/>
          <w:szCs w:val="24"/>
        </w:rPr>
        <w:t xml:space="preserve"> 1 loetletud alus seoses olulise keskkonnamõjuga tegevusega.</w:t>
      </w:r>
    </w:p>
    <w:p w:rsidR="00716B11" w:rsidRDefault="00716B11" w:rsidP="00CE28F0">
      <w:pPr>
        <w:jc w:val="both"/>
        <w:rPr>
          <w:sz w:val="24"/>
          <w:szCs w:val="24"/>
        </w:rPr>
      </w:pPr>
    </w:p>
    <w:p w:rsidR="00716B11" w:rsidRDefault="001A6C0D" w:rsidP="00C945F7">
      <w:pPr>
        <w:autoSpaceDE w:val="0"/>
        <w:autoSpaceDN w:val="0"/>
        <w:adjustRightInd w:val="0"/>
        <w:jc w:val="both"/>
        <w:rPr>
          <w:rFonts w:ascii="Times-Roman" w:hAnsi="Times-Roman" w:cs="Times-Roman"/>
          <w:sz w:val="23"/>
          <w:szCs w:val="23"/>
          <w:lang w:eastAsia="et-EE"/>
        </w:rPr>
      </w:pPr>
      <w:r>
        <w:rPr>
          <w:sz w:val="24"/>
          <w:szCs w:val="24"/>
        </w:rPr>
        <w:t xml:space="preserve">Vallavalitsuse eelhinnangul ei ole </w:t>
      </w:r>
      <w:r w:rsidRPr="00EE1A66">
        <w:rPr>
          <w:sz w:val="24"/>
          <w:szCs w:val="24"/>
        </w:rPr>
        <w:t>KeHJS § 6 lg</w:t>
      </w:r>
      <w:r>
        <w:rPr>
          <w:sz w:val="24"/>
          <w:szCs w:val="24"/>
        </w:rPr>
        <w:t xml:space="preserve">-te </w:t>
      </w:r>
      <w:r w:rsidRPr="00EE1A66">
        <w:rPr>
          <w:sz w:val="24"/>
          <w:szCs w:val="24"/>
        </w:rPr>
        <w:t xml:space="preserve">1 või </w:t>
      </w:r>
      <w:r>
        <w:rPr>
          <w:sz w:val="24"/>
          <w:szCs w:val="24"/>
        </w:rPr>
        <w:t xml:space="preserve">2-4 ja </w:t>
      </w:r>
      <w:r w:rsidRPr="00EE1A66">
        <w:rPr>
          <w:sz w:val="24"/>
          <w:szCs w:val="24"/>
        </w:rPr>
        <w:t>KeHJS § 33 lg 1 p 3</w:t>
      </w:r>
      <w:r>
        <w:rPr>
          <w:sz w:val="24"/>
          <w:szCs w:val="24"/>
        </w:rPr>
        <w:t xml:space="preserve"> ja lg 2 p 2 ning lg 6, </w:t>
      </w:r>
      <w:r w:rsidRPr="00FF3A5A">
        <w:rPr>
          <w:sz w:val="24"/>
          <w:szCs w:val="24"/>
        </w:rPr>
        <w:t xml:space="preserve">§ 34 lg 1, § 35 lg 1, lg 3, lg 5 ja lg 6 </w:t>
      </w:r>
      <w:r w:rsidR="00716B11">
        <w:rPr>
          <w:sz w:val="24"/>
          <w:szCs w:val="24"/>
        </w:rPr>
        <w:t xml:space="preserve">loetletud valdkondade tegevustel olulist keskkonnamõju, kuivõrd pole tuvastatav asjaolude esinemine, millest võiks järeldada vastupidist. </w:t>
      </w:r>
      <w:r w:rsidR="005F4741">
        <w:rPr>
          <w:sz w:val="24"/>
          <w:szCs w:val="24"/>
        </w:rPr>
        <w:t>D</w:t>
      </w:r>
      <w:r w:rsidR="006B6E99">
        <w:rPr>
          <w:sz w:val="24"/>
          <w:szCs w:val="24"/>
        </w:rPr>
        <w:t>P</w:t>
      </w:r>
      <w:r w:rsidR="00716B11">
        <w:rPr>
          <w:sz w:val="24"/>
          <w:szCs w:val="24"/>
        </w:rPr>
        <w:t xml:space="preserve"> </w:t>
      </w:r>
      <w:r w:rsidR="005F4741">
        <w:rPr>
          <w:sz w:val="24"/>
          <w:szCs w:val="24"/>
        </w:rPr>
        <w:t>vastab</w:t>
      </w:r>
      <w:r w:rsidR="00716B11">
        <w:rPr>
          <w:sz w:val="24"/>
          <w:szCs w:val="24"/>
        </w:rPr>
        <w:t xml:space="preserve"> Kohila valla üldplaneeringu</w:t>
      </w:r>
      <w:r w:rsidR="005F4741">
        <w:rPr>
          <w:sz w:val="24"/>
          <w:szCs w:val="24"/>
        </w:rPr>
        <w:t>le ja</w:t>
      </w:r>
      <w:r w:rsidR="00716B11">
        <w:rPr>
          <w:sz w:val="24"/>
          <w:szCs w:val="24"/>
        </w:rPr>
        <w:t xml:space="preserve"> kavandatav tegevus</w:t>
      </w:r>
      <w:r w:rsidR="00716B11" w:rsidRPr="00EE1A66">
        <w:rPr>
          <w:sz w:val="24"/>
          <w:szCs w:val="24"/>
        </w:rPr>
        <w:t xml:space="preserve"> </w:t>
      </w:r>
      <w:r w:rsidR="006B6E99">
        <w:rPr>
          <w:sz w:val="24"/>
          <w:szCs w:val="24"/>
        </w:rPr>
        <w:t xml:space="preserve">on </w:t>
      </w:r>
      <w:r w:rsidR="00716B11" w:rsidRPr="00EE1A66">
        <w:rPr>
          <w:sz w:val="24"/>
          <w:szCs w:val="24"/>
        </w:rPr>
        <w:t>paikkonda sobiv ja asjakohane, seega võib luba</w:t>
      </w:r>
      <w:r w:rsidR="00716B11">
        <w:rPr>
          <w:sz w:val="24"/>
          <w:szCs w:val="24"/>
        </w:rPr>
        <w:t xml:space="preserve">da </w:t>
      </w:r>
      <w:r w:rsidR="006B6E99">
        <w:rPr>
          <w:rFonts w:ascii="Times-Roman" w:hAnsi="Times-Roman" w:cs="Times-Roman"/>
          <w:sz w:val="23"/>
          <w:szCs w:val="23"/>
          <w:lang w:eastAsia="et-EE"/>
        </w:rPr>
        <w:t>ehitusõiguse määramist</w:t>
      </w:r>
      <w:r w:rsidR="002E4D0C">
        <w:rPr>
          <w:rFonts w:ascii="Times-Roman" w:hAnsi="Times-Roman" w:cs="Times-Roman"/>
          <w:sz w:val="23"/>
          <w:szCs w:val="23"/>
          <w:lang w:eastAsia="et-EE"/>
        </w:rPr>
        <w:t xml:space="preserve"> </w:t>
      </w:r>
      <w:r w:rsidR="00E90F85">
        <w:rPr>
          <w:rFonts w:ascii="Times-Roman" w:hAnsi="Times-Roman" w:cs="Times-Roman"/>
          <w:sz w:val="23"/>
          <w:szCs w:val="23"/>
          <w:lang w:eastAsia="et-EE"/>
        </w:rPr>
        <w:t xml:space="preserve">elamu ja </w:t>
      </w:r>
      <w:r w:rsidR="00D145DC">
        <w:rPr>
          <w:rFonts w:ascii="Times-Roman" w:hAnsi="Times-Roman" w:cs="Times-Roman"/>
          <w:sz w:val="23"/>
          <w:szCs w:val="23"/>
          <w:lang w:eastAsia="et-EE"/>
        </w:rPr>
        <w:t>kõrvalhoonete</w:t>
      </w:r>
      <w:r w:rsidR="00E90F85">
        <w:rPr>
          <w:rFonts w:ascii="Times-Roman" w:hAnsi="Times-Roman" w:cs="Times-Roman"/>
          <w:sz w:val="23"/>
          <w:szCs w:val="23"/>
          <w:lang w:eastAsia="et-EE"/>
        </w:rPr>
        <w:t xml:space="preserve"> </w:t>
      </w:r>
      <w:r w:rsidR="002E4D0C">
        <w:rPr>
          <w:rFonts w:ascii="Times-Roman" w:hAnsi="Times-Roman" w:cs="Times-Roman"/>
          <w:sz w:val="23"/>
          <w:szCs w:val="23"/>
          <w:lang w:eastAsia="et-EE"/>
        </w:rPr>
        <w:t>ehitamiseks</w:t>
      </w:r>
      <w:r w:rsidR="006B6E99">
        <w:rPr>
          <w:rFonts w:ascii="Times-Roman" w:hAnsi="Times-Roman" w:cs="Times-Roman"/>
          <w:sz w:val="23"/>
          <w:szCs w:val="23"/>
          <w:lang w:eastAsia="et-EE"/>
        </w:rPr>
        <w:t>.</w:t>
      </w:r>
    </w:p>
    <w:p w:rsidR="0056116E" w:rsidRDefault="0056116E" w:rsidP="00C945F7">
      <w:pPr>
        <w:autoSpaceDE w:val="0"/>
        <w:autoSpaceDN w:val="0"/>
        <w:adjustRightInd w:val="0"/>
        <w:jc w:val="both"/>
        <w:rPr>
          <w:rFonts w:ascii="Times-Roman" w:hAnsi="Times-Roman" w:cs="Times-Roman"/>
          <w:sz w:val="23"/>
          <w:szCs w:val="23"/>
          <w:lang w:eastAsia="et-EE"/>
        </w:rPr>
      </w:pPr>
    </w:p>
    <w:p w:rsidR="00CF73E2" w:rsidRDefault="00CF73E2" w:rsidP="00C945F7">
      <w:pPr>
        <w:autoSpaceDE w:val="0"/>
        <w:autoSpaceDN w:val="0"/>
        <w:adjustRightInd w:val="0"/>
        <w:jc w:val="both"/>
        <w:rPr>
          <w:rFonts w:ascii="Times-Roman" w:hAnsi="Times-Roman" w:cs="Times-Roman"/>
          <w:sz w:val="23"/>
          <w:szCs w:val="23"/>
          <w:lang w:eastAsia="et-EE"/>
        </w:rPr>
      </w:pPr>
    </w:p>
    <w:p w:rsidR="00CF73E2" w:rsidRDefault="00CF73E2" w:rsidP="00CF73E2">
      <w:pPr>
        <w:autoSpaceDE w:val="0"/>
        <w:autoSpaceDN w:val="0"/>
        <w:adjustRightInd w:val="0"/>
        <w:rPr>
          <w:rFonts w:ascii="Times-Bold" w:hAnsi="Times-Bold" w:cs="Times-Bold"/>
          <w:b/>
          <w:bCs/>
          <w:sz w:val="24"/>
          <w:szCs w:val="24"/>
          <w:lang w:eastAsia="et-EE"/>
        </w:rPr>
      </w:pPr>
      <w:r>
        <w:rPr>
          <w:rFonts w:ascii="Times-Bold" w:hAnsi="Times-Bold" w:cs="Times-Bold"/>
          <w:b/>
          <w:bCs/>
          <w:sz w:val="24"/>
          <w:szCs w:val="24"/>
          <w:lang w:eastAsia="et-EE"/>
        </w:rPr>
        <w:t>Asjaomaste isikute ja asutuste seisukohad</w:t>
      </w:r>
    </w:p>
    <w:p w:rsidR="00CF73E2" w:rsidRDefault="00CF73E2" w:rsidP="00CF73E2">
      <w:pPr>
        <w:autoSpaceDE w:val="0"/>
        <w:autoSpaceDN w:val="0"/>
        <w:adjustRightInd w:val="0"/>
        <w:rPr>
          <w:rFonts w:ascii="Times-Bold" w:hAnsi="Times-Bold" w:cs="Times-Bold"/>
          <w:b/>
          <w:bCs/>
          <w:sz w:val="24"/>
          <w:szCs w:val="24"/>
          <w:lang w:eastAsia="et-EE"/>
        </w:rPr>
      </w:pPr>
    </w:p>
    <w:p w:rsidR="00CF73E2" w:rsidRPr="00CF73E2" w:rsidRDefault="00CF73E2" w:rsidP="00125CFD">
      <w:pPr>
        <w:jc w:val="both"/>
        <w:rPr>
          <w:rFonts w:ascii="Times-Italic" w:hAnsi="Times-Italic" w:cs="Times-Italic"/>
          <w:i/>
          <w:iCs/>
          <w:sz w:val="24"/>
          <w:szCs w:val="24"/>
          <w:lang w:eastAsia="et-EE"/>
        </w:rPr>
      </w:pPr>
      <w:r>
        <w:rPr>
          <w:rFonts w:ascii="Times-Italic" w:hAnsi="Times-Italic" w:cs="Times-Italic"/>
          <w:i/>
          <w:iCs/>
          <w:sz w:val="24"/>
          <w:szCs w:val="24"/>
          <w:lang w:eastAsia="et-EE"/>
        </w:rPr>
        <w:t xml:space="preserve">Käesolev eelnõu on kooskõlastatud Keskkonnaametiga, kes oma </w:t>
      </w:r>
      <w:r w:rsidRPr="00CF73E2">
        <w:rPr>
          <w:rFonts w:ascii="Times-Italic" w:hAnsi="Times-Italic" w:cs="Times-Italic"/>
          <w:i/>
          <w:iCs/>
          <w:sz w:val="24"/>
          <w:szCs w:val="24"/>
          <w:lang w:eastAsia="et-EE"/>
        </w:rPr>
        <w:t xml:space="preserve">08.05.2015 </w:t>
      </w:r>
      <w:r>
        <w:rPr>
          <w:rFonts w:ascii="Times-Italic" w:hAnsi="Times-Italic" w:cs="Times-Italic"/>
          <w:i/>
          <w:iCs/>
          <w:sz w:val="24"/>
          <w:szCs w:val="24"/>
          <w:lang w:eastAsia="et-EE"/>
        </w:rPr>
        <w:t>kirjas nr</w:t>
      </w:r>
      <w:r w:rsidRPr="00CF73E2">
        <w:rPr>
          <w:rFonts w:ascii="Times-Italic" w:hAnsi="Times-Italic" w:cs="Times-Italic"/>
          <w:i/>
          <w:iCs/>
          <w:sz w:val="24"/>
          <w:szCs w:val="24"/>
          <w:lang w:eastAsia="et-EE"/>
        </w:rPr>
        <w:t xml:space="preserve"> HJR 6-8/15/9251-2</w:t>
      </w:r>
      <w:r>
        <w:rPr>
          <w:rFonts w:ascii="Times-Italic" w:hAnsi="Times-Italic" w:cs="Times-Italic"/>
          <w:i/>
          <w:iCs/>
          <w:sz w:val="24"/>
          <w:szCs w:val="24"/>
          <w:lang w:eastAsia="et-EE"/>
        </w:rPr>
        <w:t xml:space="preserve"> on seisukohal, et </w:t>
      </w:r>
      <w:r w:rsidRPr="00CF73E2">
        <w:rPr>
          <w:rFonts w:ascii="Times-Italic" w:hAnsi="Times-Italic" w:cs="Times-Italic"/>
          <w:i/>
          <w:iCs/>
          <w:sz w:val="24"/>
          <w:szCs w:val="24"/>
          <w:lang w:eastAsia="et-EE"/>
        </w:rPr>
        <w:t xml:space="preserve">et Matsomardi kinnistu detailplaneeringuga kavandatava tegevuse elluviimisega ei kaasne eeldatavalt KeHJS § 5 mõistes olulist keskkonnamõju ning KSH algatamine pole vajalik. Selle seisukoha kujundamisel </w:t>
      </w:r>
      <w:r>
        <w:rPr>
          <w:rFonts w:ascii="Times-Italic" w:hAnsi="Times-Italic" w:cs="Times-Italic"/>
          <w:i/>
          <w:iCs/>
          <w:sz w:val="24"/>
          <w:szCs w:val="24"/>
          <w:lang w:eastAsia="et-EE"/>
        </w:rPr>
        <w:t xml:space="preserve">on </w:t>
      </w:r>
      <w:r w:rsidRPr="00CF73E2">
        <w:rPr>
          <w:rFonts w:ascii="Times-Italic" w:hAnsi="Times-Italic" w:cs="Times-Italic"/>
          <w:i/>
          <w:iCs/>
          <w:sz w:val="24"/>
          <w:szCs w:val="24"/>
          <w:lang w:eastAsia="et-EE"/>
        </w:rPr>
        <w:t>lähtu</w:t>
      </w:r>
      <w:r>
        <w:rPr>
          <w:rFonts w:ascii="Times-Italic" w:hAnsi="Times-Italic" w:cs="Times-Italic"/>
          <w:i/>
          <w:iCs/>
          <w:sz w:val="24"/>
          <w:szCs w:val="24"/>
          <w:lang w:eastAsia="et-EE"/>
        </w:rPr>
        <w:t>tud</w:t>
      </w:r>
      <w:r w:rsidRPr="00CF73E2">
        <w:rPr>
          <w:rFonts w:ascii="Times-Italic" w:hAnsi="Times-Italic" w:cs="Times-Italic"/>
          <w:i/>
          <w:iCs/>
          <w:sz w:val="24"/>
          <w:szCs w:val="24"/>
          <w:lang w:eastAsia="et-EE"/>
        </w:rPr>
        <w:t xml:space="preserve"> Keskkonnaametile esitatud materjalidest, neis esitatud informatsioonist, planeeringuala lähiümbrusest, looduslikest tingimustest ning kavandatavast tegevusest. Keskkonnatingimustega arvestamine on võimalik planeerimisseaduse § 9 lg 2 p 8 kohaselt planeeringumenetluse käigus.</w:t>
      </w:r>
    </w:p>
    <w:p w:rsidR="00CF73E2" w:rsidRDefault="00CF73E2" w:rsidP="00CF73E2">
      <w:pPr>
        <w:autoSpaceDE w:val="0"/>
        <w:autoSpaceDN w:val="0"/>
        <w:adjustRightInd w:val="0"/>
        <w:rPr>
          <w:rFonts w:ascii="Times-Roman" w:hAnsi="Times-Roman" w:cs="Times-Roman"/>
          <w:sz w:val="23"/>
          <w:szCs w:val="23"/>
          <w:lang w:eastAsia="et-EE"/>
        </w:rPr>
      </w:pPr>
    </w:p>
    <w:p w:rsidR="00716B11" w:rsidRDefault="00716B11" w:rsidP="00717B20">
      <w:pPr>
        <w:jc w:val="both"/>
        <w:rPr>
          <w:rFonts w:ascii="Times-Roman" w:hAnsi="Times-Roman" w:cs="Times-Roman"/>
          <w:sz w:val="23"/>
          <w:szCs w:val="23"/>
          <w:lang w:eastAsia="et-EE"/>
        </w:rPr>
      </w:pPr>
    </w:p>
    <w:p w:rsidR="00716B11" w:rsidRPr="00EE1A66" w:rsidRDefault="00716B11" w:rsidP="00CE28F0">
      <w:pPr>
        <w:rPr>
          <w:sz w:val="24"/>
          <w:szCs w:val="24"/>
        </w:rPr>
      </w:pPr>
    </w:p>
    <w:p w:rsidR="00716B11" w:rsidRPr="00EE1A66" w:rsidRDefault="00716B11" w:rsidP="00CE28F0">
      <w:pPr>
        <w:rPr>
          <w:sz w:val="24"/>
          <w:szCs w:val="24"/>
        </w:rPr>
      </w:pPr>
    </w:p>
    <w:p w:rsidR="00716B11" w:rsidRPr="00EE1A66" w:rsidRDefault="00716B11" w:rsidP="00CE28F0">
      <w:pPr>
        <w:rPr>
          <w:sz w:val="24"/>
          <w:szCs w:val="24"/>
        </w:rPr>
      </w:pPr>
      <w:r w:rsidRPr="00C967A7">
        <w:rPr>
          <w:sz w:val="24"/>
          <w:szCs w:val="24"/>
        </w:rPr>
        <w:t>Eelhinnangu</w:t>
      </w:r>
      <w:r w:rsidRPr="009A7491">
        <w:rPr>
          <w:sz w:val="24"/>
          <w:szCs w:val="24"/>
        </w:rPr>
        <w:t xml:space="preserve"> </w:t>
      </w:r>
      <w:r>
        <w:rPr>
          <w:sz w:val="24"/>
          <w:szCs w:val="24"/>
        </w:rPr>
        <w:t>koostas:</w:t>
      </w:r>
      <w:r>
        <w:rPr>
          <w:sz w:val="24"/>
          <w:szCs w:val="24"/>
        </w:rPr>
        <w:tab/>
      </w:r>
      <w:r>
        <w:rPr>
          <w:sz w:val="24"/>
          <w:szCs w:val="24"/>
        </w:rPr>
        <w:tab/>
      </w:r>
      <w:r>
        <w:rPr>
          <w:sz w:val="24"/>
          <w:szCs w:val="24"/>
        </w:rPr>
        <w:tab/>
      </w:r>
      <w:r>
        <w:rPr>
          <w:sz w:val="24"/>
          <w:szCs w:val="24"/>
        </w:rPr>
        <w:tab/>
      </w:r>
      <w:r>
        <w:rPr>
          <w:sz w:val="24"/>
          <w:szCs w:val="24"/>
        </w:rPr>
        <w:tab/>
      </w:r>
      <w:r w:rsidRPr="00EE1A66">
        <w:rPr>
          <w:sz w:val="24"/>
          <w:szCs w:val="24"/>
        </w:rPr>
        <w:t>Made Saadve</w:t>
      </w:r>
    </w:p>
    <w:p w:rsidR="00716B11" w:rsidRDefault="00716B11">
      <w:r>
        <w:rPr>
          <w:sz w:val="24"/>
          <w:szCs w:val="24"/>
        </w:rPr>
        <w:t xml:space="preserve">                                                                                   </w:t>
      </w:r>
      <w:r w:rsidRPr="00EE1A66">
        <w:rPr>
          <w:sz w:val="24"/>
          <w:szCs w:val="24"/>
        </w:rPr>
        <w:t>Keskkonnanõunik</w:t>
      </w:r>
    </w:p>
    <w:sectPr w:rsidR="00716B11" w:rsidSect="007856C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2F" w:rsidRDefault="00F7252F" w:rsidP="00F7252F">
      <w:r>
        <w:separator/>
      </w:r>
    </w:p>
  </w:endnote>
  <w:endnote w:type="continuationSeparator" w:id="0">
    <w:p w:rsidR="00F7252F" w:rsidRDefault="00F7252F" w:rsidP="00F7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64665"/>
      <w:docPartObj>
        <w:docPartGallery w:val="Page Numbers (Bottom of Page)"/>
        <w:docPartUnique/>
      </w:docPartObj>
    </w:sdtPr>
    <w:sdtEndPr/>
    <w:sdtContent>
      <w:p w:rsidR="00F7252F" w:rsidRDefault="00F7252F">
        <w:pPr>
          <w:pStyle w:val="Jalus"/>
          <w:jc w:val="right"/>
        </w:pPr>
        <w:r>
          <w:fldChar w:fldCharType="begin"/>
        </w:r>
        <w:r>
          <w:instrText>PAGE   \* MERGEFORMAT</w:instrText>
        </w:r>
        <w:r>
          <w:fldChar w:fldCharType="separate"/>
        </w:r>
        <w:r w:rsidR="00BA0A8F">
          <w:rPr>
            <w:noProof/>
          </w:rPr>
          <w:t>1</w:t>
        </w:r>
        <w:r>
          <w:fldChar w:fldCharType="end"/>
        </w:r>
      </w:p>
    </w:sdtContent>
  </w:sdt>
  <w:p w:rsidR="00F7252F" w:rsidRDefault="00F7252F">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2F" w:rsidRDefault="00F7252F" w:rsidP="00F7252F">
      <w:r>
        <w:separator/>
      </w:r>
    </w:p>
  </w:footnote>
  <w:footnote w:type="continuationSeparator" w:id="0">
    <w:p w:rsidR="00F7252F" w:rsidRDefault="00F7252F" w:rsidP="00F7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E4EA7"/>
    <w:multiLevelType w:val="multilevel"/>
    <w:tmpl w:val="73CE1D8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5F2C5FB7"/>
    <w:multiLevelType w:val="multilevel"/>
    <w:tmpl w:val="50D6932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C3"/>
    <w:rsid w:val="000013A3"/>
    <w:rsid w:val="00002B20"/>
    <w:rsid w:val="0001200B"/>
    <w:rsid w:val="00026433"/>
    <w:rsid w:val="000332C8"/>
    <w:rsid w:val="00053751"/>
    <w:rsid w:val="000610DA"/>
    <w:rsid w:val="000A673A"/>
    <w:rsid w:val="000C7960"/>
    <w:rsid w:val="000D573D"/>
    <w:rsid w:val="000E4BAB"/>
    <w:rsid w:val="000E5752"/>
    <w:rsid w:val="000E659B"/>
    <w:rsid w:val="00125CFD"/>
    <w:rsid w:val="00126D34"/>
    <w:rsid w:val="00176373"/>
    <w:rsid w:val="00185904"/>
    <w:rsid w:val="00186758"/>
    <w:rsid w:val="001A46A0"/>
    <w:rsid w:val="001A6C0D"/>
    <w:rsid w:val="001E2204"/>
    <w:rsid w:val="001E64CB"/>
    <w:rsid w:val="00203678"/>
    <w:rsid w:val="002048F8"/>
    <w:rsid w:val="00221771"/>
    <w:rsid w:val="002266A1"/>
    <w:rsid w:val="00250555"/>
    <w:rsid w:val="0026746D"/>
    <w:rsid w:val="002826EA"/>
    <w:rsid w:val="0029708B"/>
    <w:rsid w:val="002A7442"/>
    <w:rsid w:val="002C6E86"/>
    <w:rsid w:val="002D4C1B"/>
    <w:rsid w:val="002D7053"/>
    <w:rsid w:val="002E4D0C"/>
    <w:rsid w:val="003333C9"/>
    <w:rsid w:val="00340B6C"/>
    <w:rsid w:val="00346157"/>
    <w:rsid w:val="003B3B0C"/>
    <w:rsid w:val="003C07D1"/>
    <w:rsid w:val="003E7ECF"/>
    <w:rsid w:val="003F1207"/>
    <w:rsid w:val="003F469D"/>
    <w:rsid w:val="00425290"/>
    <w:rsid w:val="00450D2F"/>
    <w:rsid w:val="00456F4D"/>
    <w:rsid w:val="004654DC"/>
    <w:rsid w:val="004667FF"/>
    <w:rsid w:val="00487DD0"/>
    <w:rsid w:val="004C6E13"/>
    <w:rsid w:val="00502187"/>
    <w:rsid w:val="00502F39"/>
    <w:rsid w:val="0052075E"/>
    <w:rsid w:val="00521C69"/>
    <w:rsid w:val="0056116E"/>
    <w:rsid w:val="00583BA5"/>
    <w:rsid w:val="005852B1"/>
    <w:rsid w:val="0059130D"/>
    <w:rsid w:val="005A2676"/>
    <w:rsid w:val="005B54DD"/>
    <w:rsid w:val="005B7BF1"/>
    <w:rsid w:val="005C5E5D"/>
    <w:rsid w:val="005F4741"/>
    <w:rsid w:val="005F648D"/>
    <w:rsid w:val="0060453A"/>
    <w:rsid w:val="006053D1"/>
    <w:rsid w:val="0062170B"/>
    <w:rsid w:val="006409DE"/>
    <w:rsid w:val="00643262"/>
    <w:rsid w:val="00673BC6"/>
    <w:rsid w:val="00674A63"/>
    <w:rsid w:val="0068688D"/>
    <w:rsid w:val="006963F9"/>
    <w:rsid w:val="006B6E99"/>
    <w:rsid w:val="006C3B56"/>
    <w:rsid w:val="006F4EA8"/>
    <w:rsid w:val="0070657D"/>
    <w:rsid w:val="00716B11"/>
    <w:rsid w:val="00717B20"/>
    <w:rsid w:val="00722CD3"/>
    <w:rsid w:val="007418C4"/>
    <w:rsid w:val="00774E70"/>
    <w:rsid w:val="007856CB"/>
    <w:rsid w:val="00790F6E"/>
    <w:rsid w:val="007C0204"/>
    <w:rsid w:val="007C0F44"/>
    <w:rsid w:val="007F1760"/>
    <w:rsid w:val="008125DC"/>
    <w:rsid w:val="00816C4F"/>
    <w:rsid w:val="0084269A"/>
    <w:rsid w:val="0085147F"/>
    <w:rsid w:val="00865DA7"/>
    <w:rsid w:val="00866FF2"/>
    <w:rsid w:val="00890129"/>
    <w:rsid w:val="008A2A8C"/>
    <w:rsid w:val="008A677E"/>
    <w:rsid w:val="008B2A56"/>
    <w:rsid w:val="008C392C"/>
    <w:rsid w:val="008C3E9C"/>
    <w:rsid w:val="008E7F3E"/>
    <w:rsid w:val="008F6BC4"/>
    <w:rsid w:val="009128C1"/>
    <w:rsid w:val="00943622"/>
    <w:rsid w:val="009619B4"/>
    <w:rsid w:val="00962619"/>
    <w:rsid w:val="00976F6A"/>
    <w:rsid w:val="00977EF7"/>
    <w:rsid w:val="0098254D"/>
    <w:rsid w:val="009A4998"/>
    <w:rsid w:val="009A7491"/>
    <w:rsid w:val="009C35E9"/>
    <w:rsid w:val="009C5CBD"/>
    <w:rsid w:val="009C6272"/>
    <w:rsid w:val="009D2F37"/>
    <w:rsid w:val="009D387D"/>
    <w:rsid w:val="009E0682"/>
    <w:rsid w:val="009F21AB"/>
    <w:rsid w:val="00A143D6"/>
    <w:rsid w:val="00A40C5C"/>
    <w:rsid w:val="00A614FE"/>
    <w:rsid w:val="00A62BBB"/>
    <w:rsid w:val="00A75819"/>
    <w:rsid w:val="00A847DD"/>
    <w:rsid w:val="00A86E5F"/>
    <w:rsid w:val="00AA63FA"/>
    <w:rsid w:val="00AA6DCE"/>
    <w:rsid w:val="00AF02C6"/>
    <w:rsid w:val="00B14151"/>
    <w:rsid w:val="00B221F9"/>
    <w:rsid w:val="00B24F1A"/>
    <w:rsid w:val="00B37F65"/>
    <w:rsid w:val="00B46A7E"/>
    <w:rsid w:val="00B52620"/>
    <w:rsid w:val="00B6465B"/>
    <w:rsid w:val="00B866A6"/>
    <w:rsid w:val="00BA0724"/>
    <w:rsid w:val="00BA0A8F"/>
    <w:rsid w:val="00BE0D52"/>
    <w:rsid w:val="00BE4DFB"/>
    <w:rsid w:val="00BF7164"/>
    <w:rsid w:val="00C415CC"/>
    <w:rsid w:val="00C50BBC"/>
    <w:rsid w:val="00C655FF"/>
    <w:rsid w:val="00C71F68"/>
    <w:rsid w:val="00C71F9D"/>
    <w:rsid w:val="00C85C61"/>
    <w:rsid w:val="00C945F7"/>
    <w:rsid w:val="00C9652D"/>
    <w:rsid w:val="00C967A7"/>
    <w:rsid w:val="00CB5F62"/>
    <w:rsid w:val="00CD57AF"/>
    <w:rsid w:val="00CE28F0"/>
    <w:rsid w:val="00CF1C9E"/>
    <w:rsid w:val="00CF73E2"/>
    <w:rsid w:val="00D07FFE"/>
    <w:rsid w:val="00D145DC"/>
    <w:rsid w:val="00D310D9"/>
    <w:rsid w:val="00D86C9C"/>
    <w:rsid w:val="00D9604B"/>
    <w:rsid w:val="00DA00BF"/>
    <w:rsid w:val="00DB755A"/>
    <w:rsid w:val="00DC02D0"/>
    <w:rsid w:val="00DC4B96"/>
    <w:rsid w:val="00DD0AAC"/>
    <w:rsid w:val="00DD2DF6"/>
    <w:rsid w:val="00DF42D9"/>
    <w:rsid w:val="00E01F5D"/>
    <w:rsid w:val="00E12E3E"/>
    <w:rsid w:val="00E6006F"/>
    <w:rsid w:val="00E658E3"/>
    <w:rsid w:val="00E700A7"/>
    <w:rsid w:val="00E73A02"/>
    <w:rsid w:val="00E77920"/>
    <w:rsid w:val="00E90F85"/>
    <w:rsid w:val="00E926BD"/>
    <w:rsid w:val="00EB5EC3"/>
    <w:rsid w:val="00EC4DBD"/>
    <w:rsid w:val="00EC75E8"/>
    <w:rsid w:val="00EE1A66"/>
    <w:rsid w:val="00EF5BEE"/>
    <w:rsid w:val="00F368BF"/>
    <w:rsid w:val="00F37741"/>
    <w:rsid w:val="00F56E68"/>
    <w:rsid w:val="00F601B4"/>
    <w:rsid w:val="00F6122D"/>
    <w:rsid w:val="00F66BD9"/>
    <w:rsid w:val="00F7252F"/>
    <w:rsid w:val="00F8156E"/>
    <w:rsid w:val="00F86907"/>
    <w:rsid w:val="00FA14E5"/>
    <w:rsid w:val="00FA72E7"/>
    <w:rsid w:val="00FC6E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CD7E1C1-9711-490A-BFC8-8F31DF2F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CE28F0"/>
    <w:rPr>
      <w:sz w:val="20"/>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99"/>
    <w:rsid w:val="00CE28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rsid w:val="00CE28F0"/>
    <w:rPr>
      <w:rFonts w:ascii="Tahoma" w:hAnsi="Tahoma" w:cs="Tahoma"/>
      <w:sz w:val="16"/>
      <w:szCs w:val="16"/>
    </w:rPr>
  </w:style>
  <w:style w:type="character" w:customStyle="1" w:styleId="JutumullitekstMrk">
    <w:name w:val="Jutumullitekst Märk"/>
    <w:basedOn w:val="Liguvaikefont"/>
    <w:link w:val="Jutumullitekst"/>
    <w:uiPriority w:val="99"/>
    <w:locked/>
    <w:rsid w:val="00CE28F0"/>
    <w:rPr>
      <w:rFonts w:ascii="Tahoma" w:hAnsi="Tahoma" w:cs="Tahoma"/>
      <w:sz w:val="16"/>
      <w:szCs w:val="16"/>
      <w:lang w:eastAsia="en-US"/>
    </w:rPr>
  </w:style>
  <w:style w:type="character" w:styleId="Hperlink">
    <w:name w:val="Hyperlink"/>
    <w:basedOn w:val="Liguvaikefont"/>
    <w:uiPriority w:val="99"/>
    <w:rsid w:val="00F8156E"/>
    <w:rPr>
      <w:rFonts w:cs="Times New Roman"/>
      <w:color w:val="1D52A9"/>
      <w:u w:val="none"/>
      <w:effect w:val="none"/>
    </w:rPr>
  </w:style>
  <w:style w:type="character" w:styleId="Tugev">
    <w:name w:val="Strong"/>
    <w:basedOn w:val="Liguvaikefont"/>
    <w:uiPriority w:val="99"/>
    <w:qFormat/>
    <w:rsid w:val="00F8156E"/>
    <w:rPr>
      <w:rFonts w:cs="Times New Roman"/>
      <w:b/>
      <w:bCs/>
    </w:rPr>
  </w:style>
  <w:style w:type="paragraph" w:styleId="Pis">
    <w:name w:val="header"/>
    <w:basedOn w:val="Normaallaad"/>
    <w:link w:val="PisMrk"/>
    <w:uiPriority w:val="99"/>
    <w:unhideWhenUsed/>
    <w:rsid w:val="00F7252F"/>
    <w:pPr>
      <w:tabs>
        <w:tab w:val="center" w:pos="4536"/>
        <w:tab w:val="right" w:pos="9072"/>
      </w:tabs>
    </w:pPr>
  </w:style>
  <w:style w:type="character" w:customStyle="1" w:styleId="PisMrk">
    <w:name w:val="Päis Märk"/>
    <w:basedOn w:val="Liguvaikefont"/>
    <w:link w:val="Pis"/>
    <w:uiPriority w:val="99"/>
    <w:rsid w:val="00F7252F"/>
    <w:rPr>
      <w:sz w:val="20"/>
      <w:szCs w:val="20"/>
      <w:lang w:eastAsia="en-US"/>
    </w:rPr>
  </w:style>
  <w:style w:type="paragraph" w:styleId="Jalus">
    <w:name w:val="footer"/>
    <w:basedOn w:val="Normaallaad"/>
    <w:link w:val="JalusMrk"/>
    <w:uiPriority w:val="99"/>
    <w:unhideWhenUsed/>
    <w:rsid w:val="00F7252F"/>
    <w:pPr>
      <w:tabs>
        <w:tab w:val="center" w:pos="4536"/>
        <w:tab w:val="right" w:pos="9072"/>
      </w:tabs>
    </w:pPr>
  </w:style>
  <w:style w:type="character" w:customStyle="1" w:styleId="JalusMrk">
    <w:name w:val="Jalus Märk"/>
    <w:basedOn w:val="Liguvaikefont"/>
    <w:link w:val="Jalus"/>
    <w:uiPriority w:val="99"/>
    <w:rsid w:val="00F7252F"/>
    <w:rPr>
      <w:sz w:val="20"/>
      <w:szCs w:val="20"/>
      <w:lang w:eastAsia="en-US"/>
    </w:rPr>
  </w:style>
  <w:style w:type="paragraph" w:styleId="Normaallaadveeb">
    <w:name w:val="Normal (Web)"/>
    <w:basedOn w:val="Normaallaad"/>
    <w:uiPriority w:val="99"/>
    <w:semiHidden/>
    <w:unhideWhenUsed/>
    <w:rsid w:val="00221771"/>
    <w:pPr>
      <w:spacing w:before="240" w:after="100" w:afterAutospacing="1"/>
    </w:pPr>
    <w:rPr>
      <w:sz w:val="24"/>
      <w:szCs w:val="24"/>
      <w:lang w:eastAsia="et-EE"/>
    </w:rPr>
  </w:style>
  <w:style w:type="character" w:customStyle="1" w:styleId="mm">
    <w:name w:val="mm"/>
    <w:basedOn w:val="Liguvaikefont"/>
    <w:rsid w:val="00221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22321">
      <w:bodyDiv w:val="1"/>
      <w:marLeft w:val="0"/>
      <w:marRight w:val="0"/>
      <w:marTop w:val="0"/>
      <w:marBottom w:val="0"/>
      <w:divBdr>
        <w:top w:val="none" w:sz="0" w:space="0" w:color="auto"/>
        <w:left w:val="none" w:sz="0" w:space="0" w:color="auto"/>
        <w:bottom w:val="none" w:sz="0" w:space="0" w:color="auto"/>
        <w:right w:val="none" w:sz="0" w:space="0" w:color="auto"/>
      </w:divBdr>
      <w:divsChild>
        <w:div w:id="848835470">
          <w:marLeft w:val="0"/>
          <w:marRight w:val="0"/>
          <w:marTop w:val="0"/>
          <w:marBottom w:val="0"/>
          <w:divBdr>
            <w:top w:val="none" w:sz="0" w:space="0" w:color="auto"/>
            <w:left w:val="none" w:sz="0" w:space="0" w:color="auto"/>
            <w:bottom w:val="none" w:sz="0" w:space="0" w:color="auto"/>
            <w:right w:val="none" w:sz="0" w:space="0" w:color="auto"/>
          </w:divBdr>
          <w:divsChild>
            <w:div w:id="1676836143">
              <w:marLeft w:val="0"/>
              <w:marRight w:val="0"/>
              <w:marTop w:val="0"/>
              <w:marBottom w:val="0"/>
              <w:divBdr>
                <w:top w:val="none" w:sz="0" w:space="0" w:color="auto"/>
                <w:left w:val="none" w:sz="0" w:space="0" w:color="auto"/>
                <w:bottom w:val="none" w:sz="0" w:space="0" w:color="auto"/>
                <w:right w:val="none" w:sz="0" w:space="0" w:color="auto"/>
              </w:divBdr>
              <w:divsChild>
                <w:div w:id="51193905">
                  <w:marLeft w:val="0"/>
                  <w:marRight w:val="0"/>
                  <w:marTop w:val="0"/>
                  <w:marBottom w:val="0"/>
                  <w:divBdr>
                    <w:top w:val="none" w:sz="0" w:space="0" w:color="auto"/>
                    <w:left w:val="none" w:sz="0" w:space="0" w:color="auto"/>
                    <w:bottom w:val="none" w:sz="0" w:space="0" w:color="auto"/>
                    <w:right w:val="none" w:sz="0" w:space="0" w:color="auto"/>
                  </w:divBdr>
                  <w:divsChild>
                    <w:div w:id="85099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9551</Characters>
  <Application>Microsoft Office Word</Application>
  <DocSecurity>4</DocSecurity>
  <Lines>79</Lines>
  <Paragraphs>21</Paragraphs>
  <ScaleCrop>false</ScaleCrop>
  <HeadingPairs>
    <vt:vector size="2" baseType="variant">
      <vt:variant>
        <vt:lpstr>Pealkiri</vt:lpstr>
      </vt:variant>
      <vt:variant>
        <vt:i4>1</vt:i4>
      </vt:variant>
    </vt:vector>
  </HeadingPairs>
  <TitlesOfParts>
    <vt:vector size="1" baseType="lpstr">
      <vt:lpstr>Lisa 2</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2</dc:title>
  <dc:subject/>
  <dc:creator>Made Saadve</dc:creator>
  <cp:keywords/>
  <dc:description/>
  <cp:lastModifiedBy>Rein Ailt</cp:lastModifiedBy>
  <cp:revision>2</cp:revision>
  <dcterms:created xsi:type="dcterms:W3CDTF">2015-07-03T04:51:00Z</dcterms:created>
  <dcterms:modified xsi:type="dcterms:W3CDTF">2015-07-03T04:51:00Z</dcterms:modified>
</cp:coreProperties>
</file>